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095AB8A8" w14:textId="64251761" w:rsidR="001868B0" w:rsidRDefault="0013184A">
      <w:pPr>
        <w:spacing w:line="360" w:lineRule="auto"/>
        <w:jc w:val="center"/>
        <w:rPr>
          <w:rFonts w:ascii="黑体" w:eastAsia="黑体" w:hAnsi="黑体"/>
          <w:b/>
          <w:bCs/>
          <w:sz w:val="30"/>
          <w:szCs w:val="30"/>
        </w:rPr>
      </w:pPr>
      <w:r>
        <w:rPr>
          <w:rFonts w:ascii="黑体" w:eastAsia="黑体" w:hAnsi="黑体" w:hint="eastAsia"/>
          <w:b/>
          <w:bCs/>
          <w:sz w:val="30"/>
          <w:szCs w:val="30"/>
        </w:rPr>
        <w:t>（202</w:t>
      </w:r>
      <w:r w:rsidR="00E8709A">
        <w:rPr>
          <w:rFonts w:ascii="黑体" w:eastAsia="黑体" w:hAnsi="黑体" w:hint="eastAsia"/>
          <w:b/>
          <w:bCs/>
          <w:sz w:val="30"/>
          <w:szCs w:val="30"/>
        </w:rPr>
        <w:t>3</w:t>
      </w:r>
      <w:r>
        <w:rPr>
          <w:rFonts w:ascii="黑体" w:eastAsia="黑体" w:hAnsi="黑体" w:hint="eastAsia"/>
          <w:b/>
          <w:bCs/>
          <w:sz w:val="30"/>
          <w:szCs w:val="30"/>
        </w:rPr>
        <w:t>年</w:t>
      </w:r>
      <w:r w:rsidR="00BF00B6">
        <w:rPr>
          <w:rFonts w:ascii="黑体" w:eastAsia="黑体" w:hAnsi="黑体"/>
          <w:b/>
          <w:bCs/>
          <w:sz w:val="30"/>
          <w:szCs w:val="30"/>
        </w:rPr>
        <w:t>3</w:t>
      </w:r>
      <w:r>
        <w:rPr>
          <w:rFonts w:ascii="黑体" w:eastAsia="黑体" w:hAnsi="黑体" w:hint="eastAsia"/>
          <w:b/>
          <w:bCs/>
          <w:sz w:val="30"/>
          <w:szCs w:val="30"/>
        </w:rPr>
        <w:t>月）</w:t>
      </w:r>
    </w:p>
    <w:p w14:paraId="786AB7FB" w14:textId="77777777" w:rsidR="001868B0" w:rsidRDefault="001868B0">
      <w:pPr>
        <w:rPr>
          <w:rFonts w:ascii="宋体" w:eastAsia="宋体" w:hAnsi="宋体" w:cs="Calibri"/>
          <w:b/>
          <w:bCs/>
          <w:sz w:val="24"/>
          <w:szCs w:val="24"/>
        </w:rPr>
      </w:pPr>
    </w:p>
    <w:tbl>
      <w:tblPr>
        <w:tblStyle w:val="aa"/>
        <w:tblW w:w="9781" w:type="dxa"/>
        <w:tblInd w:w="-714" w:type="dxa"/>
        <w:tblLayout w:type="fixed"/>
        <w:tblLook w:val="04A0" w:firstRow="1" w:lastRow="0" w:firstColumn="1" w:lastColumn="0" w:noHBand="0" w:noVBand="1"/>
      </w:tblPr>
      <w:tblGrid>
        <w:gridCol w:w="2098"/>
        <w:gridCol w:w="7683"/>
      </w:tblGrid>
      <w:tr w:rsidR="001868B0" w:rsidRPr="00237235"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10281352"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w:t>
            </w:r>
            <w:r w:rsidR="003F1B06" w:rsidRPr="003F1B06">
              <w:rPr>
                <w:rFonts w:ascii="宋体" w:eastAsia="宋体" w:hAnsi="宋体" w:hint="eastAsia"/>
                <w:sz w:val="24"/>
                <w:szCs w:val="24"/>
              </w:rPr>
              <w:t>√</w:t>
            </w:r>
            <w:r>
              <w:rPr>
                <w:rFonts w:ascii="宋体" w:eastAsia="宋体" w:hAnsi="宋体"/>
                <w:sz w:val="24"/>
                <w:szCs w:val="24"/>
              </w:rPr>
              <w:t xml:space="preserve">分析师会议 </w:t>
            </w:r>
          </w:p>
          <w:p w14:paraId="20D1C524" w14:textId="77777777"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□业绩说明会</w:t>
            </w:r>
            <w:r>
              <w:rPr>
                <w:rFonts w:ascii="宋体" w:eastAsia="宋体" w:hAnsi="宋体"/>
                <w:sz w:val="24"/>
                <w:szCs w:val="24"/>
              </w:rPr>
              <w:tab/>
            </w:r>
          </w:p>
          <w:p w14:paraId="2A84B937" w14:textId="44B2A4E6"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40C2433B" w14:textId="3E25E82D" w:rsidR="001868B0" w:rsidRDefault="00E8709A">
            <w:pPr>
              <w:spacing w:line="360" w:lineRule="auto"/>
              <w:rPr>
                <w:rFonts w:ascii="宋体" w:eastAsia="宋体" w:hAnsi="宋体"/>
                <w:sz w:val="24"/>
                <w:szCs w:val="24"/>
              </w:rPr>
            </w:pPr>
            <w:r>
              <w:rPr>
                <w:rFonts w:ascii="宋体" w:eastAsia="宋体" w:hAnsi="宋体"/>
                <w:sz w:val="24"/>
                <w:szCs w:val="24"/>
              </w:rPr>
              <w:t>□</w:t>
            </w:r>
            <w:r w:rsidR="0013184A">
              <w:rPr>
                <w:rFonts w:ascii="宋体" w:eastAsia="宋体" w:hAnsi="宋体" w:hint="eastAsia"/>
                <w:sz w:val="24"/>
                <w:szCs w:val="24"/>
              </w:rPr>
              <w:t xml:space="preserve">现场参观             </w:t>
            </w:r>
            <w:r w:rsidR="0079500C">
              <w:rPr>
                <w:rFonts w:ascii="宋体" w:eastAsia="宋体" w:hAnsi="宋体"/>
                <w:sz w:val="24"/>
                <w:szCs w:val="24"/>
              </w:rPr>
              <w:t xml:space="preserve">  </w:t>
            </w:r>
            <w:r w:rsidR="0013184A">
              <w:rPr>
                <w:rFonts w:ascii="宋体" w:eastAsia="宋体" w:hAnsi="宋体" w:hint="eastAsia"/>
                <w:sz w:val="24"/>
                <w:szCs w:val="24"/>
              </w:rPr>
              <w:t xml:space="preserve"> </w:t>
            </w:r>
            <w:r w:rsidR="00237235">
              <w:rPr>
                <w:rFonts w:ascii="宋体" w:eastAsia="宋体" w:hAnsi="宋体" w:hint="eastAsia"/>
                <w:sz w:val="24"/>
                <w:szCs w:val="24"/>
              </w:rPr>
              <w:t>□</w:t>
            </w:r>
            <w:r w:rsidR="0013184A">
              <w:rPr>
                <w:rFonts w:ascii="宋体" w:eastAsia="宋体" w:hAnsi="宋体" w:hint="eastAsia"/>
                <w:sz w:val="24"/>
                <w:szCs w:val="24"/>
              </w:rPr>
              <w:t>√其他</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4F9C55A8" w:rsidR="00A1754E" w:rsidRPr="00A1754E" w:rsidRDefault="00355270" w:rsidP="009141EC">
            <w:pPr>
              <w:widowControl/>
              <w:spacing w:line="360" w:lineRule="auto"/>
              <w:jc w:val="left"/>
              <w:rPr>
                <w:rFonts w:ascii="宋体" w:eastAsia="宋体" w:hAnsi="宋体" w:cs="宋体"/>
                <w:kern w:val="0"/>
                <w:sz w:val="24"/>
                <w:szCs w:val="24"/>
              </w:rPr>
            </w:pPr>
            <w:r w:rsidRPr="00355270">
              <w:rPr>
                <w:rFonts w:ascii="宋体" w:eastAsia="宋体" w:hAnsi="宋体" w:cs="宋体"/>
                <w:kern w:val="0"/>
                <w:sz w:val="24"/>
                <w:szCs w:val="24"/>
              </w:rPr>
              <w:t>民生证券</w:t>
            </w:r>
            <w:r>
              <w:rPr>
                <w:rFonts w:ascii="宋体" w:eastAsia="宋体" w:hAnsi="宋体" w:cs="宋体" w:hint="eastAsia"/>
                <w:kern w:val="0"/>
                <w:sz w:val="24"/>
                <w:szCs w:val="24"/>
              </w:rPr>
              <w:t>、</w:t>
            </w:r>
            <w:r w:rsidRPr="00355270">
              <w:rPr>
                <w:rFonts w:ascii="宋体" w:eastAsia="宋体" w:hAnsi="宋体" w:cs="宋体"/>
                <w:kern w:val="0"/>
                <w:sz w:val="24"/>
                <w:szCs w:val="24"/>
              </w:rPr>
              <w:t>聚鸣投资</w:t>
            </w:r>
            <w:r>
              <w:rPr>
                <w:rFonts w:ascii="宋体" w:eastAsia="宋体" w:hAnsi="宋体" w:cs="宋体" w:hint="eastAsia"/>
                <w:kern w:val="0"/>
                <w:sz w:val="24"/>
                <w:szCs w:val="24"/>
              </w:rPr>
              <w:t>、</w:t>
            </w:r>
            <w:r w:rsidRPr="00355270">
              <w:rPr>
                <w:rFonts w:ascii="宋体" w:eastAsia="宋体" w:hAnsi="宋体" w:cs="宋体"/>
                <w:kern w:val="0"/>
                <w:sz w:val="24"/>
                <w:szCs w:val="24"/>
              </w:rPr>
              <w:t>彤源投资</w:t>
            </w:r>
            <w:r>
              <w:rPr>
                <w:rFonts w:ascii="宋体" w:eastAsia="宋体" w:hAnsi="宋体" w:cs="宋体" w:hint="eastAsia"/>
                <w:kern w:val="0"/>
                <w:sz w:val="24"/>
                <w:szCs w:val="24"/>
              </w:rPr>
              <w:t>、</w:t>
            </w:r>
            <w:r w:rsidRPr="00355270">
              <w:rPr>
                <w:rFonts w:ascii="宋体" w:eastAsia="宋体" w:hAnsi="宋体" w:cs="宋体"/>
                <w:kern w:val="0"/>
                <w:sz w:val="24"/>
                <w:szCs w:val="24"/>
              </w:rPr>
              <w:t>博道基金</w:t>
            </w:r>
            <w:r>
              <w:rPr>
                <w:rFonts w:ascii="宋体" w:eastAsia="宋体" w:hAnsi="宋体" w:cs="宋体" w:hint="eastAsia"/>
                <w:kern w:val="0"/>
                <w:sz w:val="24"/>
                <w:szCs w:val="24"/>
              </w:rPr>
              <w:t>、</w:t>
            </w:r>
            <w:r w:rsidRPr="00355270">
              <w:rPr>
                <w:rFonts w:ascii="宋体" w:eastAsia="宋体" w:hAnsi="宋体" w:cs="宋体"/>
                <w:kern w:val="0"/>
                <w:sz w:val="24"/>
                <w:szCs w:val="24"/>
              </w:rPr>
              <w:t>中融基金</w:t>
            </w:r>
            <w:r>
              <w:rPr>
                <w:rFonts w:ascii="宋体" w:eastAsia="宋体" w:hAnsi="宋体" w:cs="宋体" w:hint="eastAsia"/>
                <w:kern w:val="0"/>
                <w:sz w:val="24"/>
                <w:szCs w:val="24"/>
              </w:rPr>
              <w:t>、</w:t>
            </w:r>
            <w:r w:rsidRPr="00355270">
              <w:rPr>
                <w:rFonts w:ascii="宋体" w:eastAsia="宋体" w:hAnsi="宋体" w:cs="宋体"/>
                <w:kern w:val="0"/>
                <w:sz w:val="24"/>
                <w:szCs w:val="24"/>
              </w:rPr>
              <w:t>浙江韶夏投资</w:t>
            </w:r>
            <w:r>
              <w:rPr>
                <w:rFonts w:ascii="宋体" w:eastAsia="宋体" w:hAnsi="宋体" w:cs="宋体" w:hint="eastAsia"/>
                <w:kern w:val="0"/>
                <w:sz w:val="24"/>
                <w:szCs w:val="24"/>
              </w:rPr>
              <w:t>、</w:t>
            </w:r>
            <w:r w:rsidRPr="00355270">
              <w:rPr>
                <w:rFonts w:ascii="宋体" w:eastAsia="宋体" w:hAnsi="宋体" w:cs="宋体"/>
                <w:kern w:val="0"/>
                <w:sz w:val="24"/>
                <w:szCs w:val="24"/>
              </w:rPr>
              <w:t>上海玖鹏资产</w:t>
            </w:r>
            <w:r>
              <w:rPr>
                <w:rFonts w:ascii="宋体" w:eastAsia="宋体" w:hAnsi="宋体" w:cs="宋体" w:hint="eastAsia"/>
                <w:kern w:val="0"/>
                <w:sz w:val="24"/>
                <w:szCs w:val="24"/>
              </w:rPr>
              <w:t>、</w:t>
            </w:r>
            <w:r w:rsidRPr="00355270">
              <w:rPr>
                <w:rFonts w:ascii="宋体" w:eastAsia="宋体" w:hAnsi="宋体" w:cs="宋体"/>
                <w:kern w:val="0"/>
                <w:sz w:val="24"/>
                <w:szCs w:val="24"/>
              </w:rPr>
              <w:t>华安基金</w:t>
            </w:r>
            <w:r w:rsidR="001649FA">
              <w:rPr>
                <w:rFonts w:ascii="宋体" w:eastAsia="宋体" w:hAnsi="宋体" w:cs="宋体" w:hint="eastAsia"/>
                <w:kern w:val="0"/>
                <w:sz w:val="24"/>
                <w:szCs w:val="24"/>
              </w:rPr>
              <w:t>、</w:t>
            </w:r>
            <w:r w:rsidR="001E291D">
              <w:rPr>
                <w:rFonts w:ascii="宋体" w:eastAsia="宋体" w:hAnsi="宋体" w:cs="宋体" w:hint="eastAsia"/>
                <w:kern w:val="0"/>
                <w:sz w:val="24"/>
                <w:szCs w:val="24"/>
              </w:rPr>
              <w:t>上海保银投资、</w:t>
            </w:r>
            <w:r w:rsidR="001E291D" w:rsidRPr="001E291D">
              <w:rPr>
                <w:rFonts w:ascii="宋体" w:eastAsia="宋体" w:hAnsi="宋体" w:cs="宋体"/>
                <w:kern w:val="0"/>
                <w:sz w:val="24"/>
                <w:szCs w:val="24"/>
              </w:rPr>
              <w:t>浙商基金</w:t>
            </w:r>
            <w:r w:rsidR="001E291D">
              <w:rPr>
                <w:rFonts w:ascii="宋体" w:eastAsia="宋体" w:hAnsi="宋体" w:cs="宋体" w:hint="eastAsia"/>
                <w:kern w:val="0"/>
                <w:sz w:val="24"/>
                <w:szCs w:val="24"/>
              </w:rPr>
              <w:t>、</w:t>
            </w:r>
            <w:r w:rsidR="001E291D" w:rsidRPr="001E291D">
              <w:rPr>
                <w:rFonts w:ascii="宋体" w:eastAsia="宋体" w:hAnsi="宋体" w:cs="宋体"/>
                <w:kern w:val="0"/>
                <w:sz w:val="24"/>
                <w:szCs w:val="24"/>
              </w:rPr>
              <w:t>华宝基金</w:t>
            </w:r>
            <w:r w:rsidR="001E291D">
              <w:rPr>
                <w:rFonts w:ascii="宋体" w:eastAsia="宋体" w:hAnsi="宋体" w:cs="宋体" w:hint="eastAsia"/>
                <w:kern w:val="0"/>
                <w:sz w:val="24"/>
                <w:szCs w:val="24"/>
              </w:rPr>
              <w:t>、</w:t>
            </w:r>
            <w:r w:rsidR="001E291D" w:rsidRPr="001E291D">
              <w:rPr>
                <w:rFonts w:ascii="宋体" w:eastAsia="宋体" w:hAnsi="宋体" w:cs="宋体"/>
                <w:kern w:val="0"/>
                <w:sz w:val="24"/>
                <w:szCs w:val="24"/>
              </w:rPr>
              <w:t>太平洋证券</w:t>
            </w:r>
            <w:r w:rsidR="001E291D">
              <w:rPr>
                <w:rFonts w:ascii="宋体" w:eastAsia="宋体" w:hAnsi="宋体" w:cs="宋体" w:hint="eastAsia"/>
                <w:kern w:val="0"/>
                <w:sz w:val="24"/>
                <w:szCs w:val="24"/>
              </w:rPr>
              <w:t>、</w:t>
            </w:r>
            <w:r w:rsidR="001E291D" w:rsidRPr="001E291D">
              <w:rPr>
                <w:rFonts w:ascii="宋体" w:eastAsia="宋体" w:hAnsi="宋体" w:cs="宋体"/>
                <w:kern w:val="0"/>
                <w:sz w:val="24"/>
                <w:szCs w:val="24"/>
              </w:rPr>
              <w:t>宝盈基金</w:t>
            </w:r>
            <w:r w:rsidR="001E291D">
              <w:rPr>
                <w:rFonts w:ascii="宋体" w:eastAsia="宋体" w:hAnsi="宋体" w:cs="宋体" w:hint="eastAsia"/>
                <w:kern w:val="0"/>
                <w:sz w:val="24"/>
                <w:szCs w:val="24"/>
              </w:rPr>
              <w:t>、永望资产、</w:t>
            </w:r>
            <w:r w:rsidR="001E291D" w:rsidRPr="001E291D">
              <w:rPr>
                <w:rFonts w:ascii="宋体" w:eastAsia="宋体" w:hAnsi="宋体" w:cs="宋体"/>
                <w:kern w:val="0"/>
                <w:sz w:val="24"/>
                <w:szCs w:val="24"/>
              </w:rPr>
              <w:t>广发基金</w:t>
            </w:r>
            <w:r w:rsidR="001E291D">
              <w:rPr>
                <w:rFonts w:ascii="宋体" w:eastAsia="宋体" w:hAnsi="宋体" w:cs="宋体" w:hint="eastAsia"/>
                <w:kern w:val="0"/>
                <w:sz w:val="24"/>
                <w:szCs w:val="24"/>
              </w:rPr>
              <w:t>、</w:t>
            </w:r>
            <w:r w:rsidR="001E291D" w:rsidRPr="001E291D">
              <w:rPr>
                <w:rFonts w:ascii="宋体" w:eastAsia="宋体" w:hAnsi="宋体" w:cs="宋体"/>
                <w:kern w:val="0"/>
                <w:sz w:val="24"/>
                <w:szCs w:val="24"/>
              </w:rPr>
              <w:t>诺德基金</w:t>
            </w:r>
            <w:r w:rsidR="001E291D">
              <w:rPr>
                <w:rFonts w:ascii="宋体" w:eastAsia="宋体" w:hAnsi="宋体" w:cs="宋体" w:hint="eastAsia"/>
                <w:kern w:val="0"/>
                <w:sz w:val="24"/>
                <w:szCs w:val="24"/>
              </w:rPr>
              <w:t>、</w:t>
            </w:r>
            <w:r w:rsidR="001E291D" w:rsidRPr="001E291D">
              <w:rPr>
                <w:rFonts w:ascii="宋体" w:eastAsia="宋体" w:hAnsi="宋体" w:cs="宋体"/>
                <w:kern w:val="0"/>
                <w:sz w:val="24"/>
                <w:szCs w:val="24"/>
              </w:rPr>
              <w:t>汇利资产</w:t>
            </w:r>
            <w:r w:rsidR="001E291D">
              <w:rPr>
                <w:rFonts w:ascii="宋体" w:eastAsia="宋体" w:hAnsi="宋体" w:cs="宋体" w:hint="eastAsia"/>
                <w:kern w:val="0"/>
                <w:sz w:val="24"/>
                <w:szCs w:val="24"/>
              </w:rPr>
              <w:t>、</w:t>
            </w:r>
            <w:r w:rsidR="001E291D" w:rsidRPr="001E291D">
              <w:rPr>
                <w:rFonts w:ascii="宋体" w:eastAsia="宋体" w:hAnsi="宋体" w:cs="宋体"/>
                <w:kern w:val="0"/>
                <w:sz w:val="24"/>
                <w:szCs w:val="24"/>
              </w:rPr>
              <w:t>凯石基金</w:t>
            </w:r>
            <w:r w:rsidR="001E291D">
              <w:rPr>
                <w:rFonts w:ascii="宋体" w:eastAsia="宋体" w:hAnsi="宋体" w:cs="宋体" w:hint="eastAsia"/>
                <w:kern w:val="0"/>
                <w:sz w:val="24"/>
                <w:szCs w:val="24"/>
              </w:rPr>
              <w:t>、</w:t>
            </w:r>
            <w:r w:rsidR="001E291D" w:rsidRPr="001E291D">
              <w:rPr>
                <w:rFonts w:ascii="宋体" w:eastAsia="宋体" w:hAnsi="宋体" w:cs="宋体"/>
                <w:kern w:val="0"/>
                <w:sz w:val="24"/>
                <w:szCs w:val="24"/>
              </w:rPr>
              <w:t>华泰柏瑞</w:t>
            </w:r>
            <w:r w:rsidR="001E291D">
              <w:rPr>
                <w:rFonts w:ascii="宋体" w:eastAsia="宋体" w:hAnsi="宋体" w:cs="宋体" w:hint="eastAsia"/>
                <w:kern w:val="0"/>
                <w:sz w:val="24"/>
                <w:szCs w:val="24"/>
              </w:rPr>
              <w:t>、</w:t>
            </w:r>
            <w:r w:rsidR="001E291D" w:rsidRPr="001E291D">
              <w:rPr>
                <w:rFonts w:ascii="宋体" w:eastAsia="宋体" w:hAnsi="宋体" w:cs="宋体"/>
                <w:kern w:val="0"/>
                <w:sz w:val="24"/>
                <w:szCs w:val="24"/>
              </w:rPr>
              <w:t>国华兴益资管</w:t>
            </w:r>
            <w:r w:rsidR="001E291D">
              <w:rPr>
                <w:rFonts w:ascii="宋体" w:eastAsia="宋体" w:hAnsi="宋体" w:cs="宋体" w:hint="eastAsia"/>
                <w:kern w:val="0"/>
                <w:sz w:val="24"/>
                <w:szCs w:val="24"/>
              </w:rPr>
              <w:t>、</w:t>
            </w:r>
            <w:r w:rsidR="001E291D" w:rsidRPr="001E291D">
              <w:rPr>
                <w:rFonts w:ascii="宋体" w:eastAsia="宋体" w:hAnsi="宋体" w:cs="宋体"/>
                <w:kern w:val="0"/>
                <w:sz w:val="24"/>
                <w:szCs w:val="24"/>
              </w:rPr>
              <w:t>太平基金</w:t>
            </w:r>
            <w:r w:rsidR="001E291D">
              <w:rPr>
                <w:rFonts w:ascii="宋体" w:eastAsia="宋体" w:hAnsi="宋体" w:cs="宋体" w:hint="eastAsia"/>
                <w:kern w:val="0"/>
                <w:sz w:val="24"/>
                <w:szCs w:val="24"/>
              </w:rPr>
              <w:t>、</w:t>
            </w:r>
            <w:r w:rsidR="001E291D" w:rsidRPr="001E291D">
              <w:rPr>
                <w:rFonts w:ascii="宋体" w:eastAsia="宋体" w:hAnsi="宋体" w:cs="宋体"/>
                <w:kern w:val="0"/>
                <w:sz w:val="24"/>
                <w:szCs w:val="24"/>
              </w:rPr>
              <w:t>德邦资管</w:t>
            </w:r>
            <w:r w:rsidR="001E291D">
              <w:rPr>
                <w:rFonts w:ascii="宋体" w:eastAsia="宋体" w:hAnsi="宋体" w:cs="宋体" w:hint="eastAsia"/>
                <w:kern w:val="0"/>
                <w:sz w:val="24"/>
                <w:szCs w:val="24"/>
              </w:rPr>
              <w:t>、</w:t>
            </w:r>
            <w:r w:rsidR="001E291D" w:rsidRPr="001E291D">
              <w:rPr>
                <w:rFonts w:ascii="宋体" w:eastAsia="宋体" w:hAnsi="宋体" w:cs="宋体"/>
                <w:kern w:val="0"/>
                <w:sz w:val="24"/>
                <w:szCs w:val="24"/>
              </w:rPr>
              <w:t>招商基金</w:t>
            </w:r>
            <w:r w:rsidR="001E291D">
              <w:rPr>
                <w:rFonts w:ascii="宋体" w:eastAsia="宋体" w:hAnsi="宋体" w:cs="宋体" w:hint="eastAsia"/>
                <w:kern w:val="0"/>
                <w:sz w:val="24"/>
                <w:szCs w:val="24"/>
              </w:rPr>
              <w:t>、</w:t>
            </w:r>
            <w:r w:rsidR="001E291D" w:rsidRPr="001E291D">
              <w:rPr>
                <w:rFonts w:ascii="宋体" w:eastAsia="宋体" w:hAnsi="宋体" w:cs="宋体"/>
                <w:kern w:val="0"/>
                <w:sz w:val="24"/>
                <w:szCs w:val="24"/>
              </w:rPr>
              <w:t>望正资本</w:t>
            </w:r>
            <w:r w:rsidR="001E291D">
              <w:rPr>
                <w:rFonts w:ascii="宋体" w:eastAsia="宋体" w:hAnsi="宋体" w:cs="宋体" w:hint="eastAsia"/>
                <w:kern w:val="0"/>
                <w:sz w:val="24"/>
                <w:szCs w:val="24"/>
              </w:rPr>
              <w:t>、</w:t>
            </w:r>
            <w:r w:rsidR="001E291D" w:rsidRPr="001E291D">
              <w:rPr>
                <w:rFonts w:ascii="宋体" w:eastAsia="宋体" w:hAnsi="宋体" w:cs="宋体"/>
                <w:kern w:val="0"/>
                <w:sz w:val="24"/>
                <w:szCs w:val="24"/>
              </w:rPr>
              <w:t>清河泉</w:t>
            </w:r>
            <w:r w:rsidR="001E291D">
              <w:rPr>
                <w:rFonts w:ascii="宋体" w:eastAsia="宋体" w:hAnsi="宋体" w:cs="宋体" w:hint="eastAsia"/>
                <w:kern w:val="0"/>
                <w:sz w:val="24"/>
                <w:szCs w:val="24"/>
              </w:rPr>
              <w:t>、</w:t>
            </w:r>
            <w:r w:rsidR="001E291D" w:rsidRPr="001E291D">
              <w:rPr>
                <w:rFonts w:ascii="宋体" w:eastAsia="宋体" w:hAnsi="宋体" w:cs="宋体"/>
                <w:kern w:val="0"/>
                <w:sz w:val="24"/>
                <w:szCs w:val="24"/>
              </w:rPr>
              <w:t>申万菱信</w:t>
            </w:r>
            <w:r w:rsidR="001E291D">
              <w:rPr>
                <w:rFonts w:ascii="宋体" w:eastAsia="宋体" w:hAnsi="宋体" w:cs="宋体" w:hint="eastAsia"/>
                <w:kern w:val="0"/>
                <w:sz w:val="24"/>
                <w:szCs w:val="24"/>
              </w:rPr>
              <w:t>、</w:t>
            </w:r>
            <w:r w:rsidR="001E291D" w:rsidRPr="001E291D">
              <w:rPr>
                <w:rFonts w:ascii="宋体" w:eastAsia="宋体" w:hAnsi="宋体" w:cs="宋体"/>
                <w:kern w:val="0"/>
                <w:sz w:val="24"/>
                <w:szCs w:val="24"/>
              </w:rPr>
              <w:t>阳光资产</w:t>
            </w:r>
            <w:r w:rsidR="001E291D">
              <w:rPr>
                <w:rFonts w:ascii="宋体" w:eastAsia="宋体" w:hAnsi="宋体" w:cs="宋体" w:hint="eastAsia"/>
                <w:kern w:val="0"/>
                <w:sz w:val="24"/>
                <w:szCs w:val="24"/>
              </w:rPr>
              <w:t>、</w:t>
            </w:r>
            <w:r w:rsidR="001E291D" w:rsidRPr="001E291D">
              <w:rPr>
                <w:rFonts w:ascii="宋体" w:eastAsia="宋体" w:hAnsi="宋体" w:cs="宋体"/>
                <w:kern w:val="0"/>
                <w:sz w:val="24"/>
                <w:szCs w:val="24"/>
              </w:rPr>
              <w:t>国新国证基金</w:t>
            </w:r>
            <w:r w:rsidR="001E291D">
              <w:rPr>
                <w:rFonts w:ascii="宋体" w:eastAsia="宋体" w:hAnsi="宋体" w:cs="宋体" w:hint="eastAsia"/>
                <w:kern w:val="0"/>
                <w:sz w:val="24"/>
                <w:szCs w:val="24"/>
              </w:rPr>
              <w:t>、</w:t>
            </w:r>
            <w:r w:rsidR="001E291D" w:rsidRPr="001E291D">
              <w:rPr>
                <w:rFonts w:ascii="宋体" w:eastAsia="宋体" w:hAnsi="宋体" w:cs="宋体"/>
                <w:kern w:val="0"/>
                <w:sz w:val="24"/>
                <w:szCs w:val="24"/>
              </w:rPr>
              <w:t>平安基金</w:t>
            </w:r>
            <w:r w:rsidR="001E291D">
              <w:rPr>
                <w:rFonts w:ascii="宋体" w:eastAsia="宋体" w:hAnsi="宋体" w:cs="宋体" w:hint="eastAsia"/>
                <w:kern w:val="0"/>
                <w:sz w:val="24"/>
                <w:szCs w:val="24"/>
              </w:rPr>
              <w:t>、</w:t>
            </w:r>
            <w:r w:rsidR="001E291D" w:rsidRPr="001E291D">
              <w:rPr>
                <w:rFonts w:ascii="宋体" w:eastAsia="宋体" w:hAnsi="宋体" w:cs="宋体"/>
                <w:kern w:val="0"/>
                <w:sz w:val="24"/>
                <w:szCs w:val="24"/>
              </w:rPr>
              <w:t>泽源资产</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72BB9AB1"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sidR="001C0BF7">
              <w:rPr>
                <w:rFonts w:ascii="宋体" w:eastAsia="宋体" w:hAnsi="宋体"/>
                <w:sz w:val="24"/>
                <w:szCs w:val="24"/>
              </w:rPr>
              <w:t>3</w:t>
            </w:r>
            <w:r>
              <w:rPr>
                <w:rFonts w:ascii="宋体" w:eastAsia="宋体" w:hAnsi="宋体"/>
                <w:sz w:val="24"/>
                <w:szCs w:val="24"/>
              </w:rPr>
              <w:t>年</w:t>
            </w:r>
            <w:r w:rsidR="001E291D">
              <w:rPr>
                <w:rFonts w:ascii="宋体" w:eastAsia="宋体" w:hAnsi="宋体"/>
                <w:sz w:val="24"/>
                <w:szCs w:val="24"/>
              </w:rPr>
              <w:t>3</w:t>
            </w:r>
            <w:r w:rsidR="009B5CB0">
              <w:rPr>
                <w:rFonts w:ascii="宋体" w:eastAsia="宋体" w:hAnsi="宋体" w:hint="eastAsia"/>
                <w:sz w:val="24"/>
                <w:szCs w:val="24"/>
              </w:rPr>
              <w:t>月</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222A700A" w:rsidR="001868B0" w:rsidRDefault="0013184A">
            <w:pPr>
              <w:spacing w:line="360" w:lineRule="auto"/>
              <w:rPr>
                <w:rFonts w:ascii="宋体" w:eastAsia="宋体" w:hAnsi="宋体"/>
                <w:sz w:val="24"/>
                <w:szCs w:val="24"/>
              </w:rPr>
            </w:pPr>
            <w:r>
              <w:rPr>
                <w:rFonts w:ascii="宋体" w:eastAsia="宋体" w:hAnsi="宋体"/>
                <w:sz w:val="24"/>
                <w:szCs w:val="24"/>
              </w:rPr>
              <w:t>线上会议</w:t>
            </w:r>
            <w:r w:rsidR="0062233C">
              <w:rPr>
                <w:rFonts w:ascii="宋体" w:eastAsia="宋体" w:hAnsi="宋体" w:hint="eastAsia"/>
                <w:sz w:val="24"/>
                <w:szCs w:val="24"/>
              </w:rPr>
              <w:t>+</w:t>
            </w:r>
            <w:r w:rsidR="00C9771F">
              <w:rPr>
                <w:rFonts w:ascii="宋体" w:eastAsia="宋体" w:hAnsi="宋体" w:hint="eastAsia"/>
                <w:sz w:val="24"/>
                <w:szCs w:val="24"/>
              </w:rPr>
              <w:t>券商策略会</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21EA1A1A" w14:textId="3B03C0BB" w:rsidR="007265C8" w:rsidRDefault="0013184A" w:rsidP="007265C8">
            <w:pPr>
              <w:spacing w:line="360" w:lineRule="auto"/>
              <w:rPr>
                <w:rFonts w:ascii="宋体" w:eastAsia="宋体" w:hAnsi="宋体"/>
                <w:sz w:val="24"/>
                <w:szCs w:val="24"/>
              </w:rPr>
            </w:pPr>
            <w:r>
              <w:rPr>
                <w:rFonts w:ascii="宋体" w:eastAsia="宋体" w:hAnsi="宋体"/>
                <w:sz w:val="24"/>
                <w:szCs w:val="24"/>
              </w:rPr>
              <w:t>董事会秘书</w:t>
            </w:r>
            <w:r>
              <w:rPr>
                <w:rFonts w:ascii="宋体" w:eastAsia="宋体" w:hAnsi="宋体" w:hint="eastAsia"/>
                <w:sz w:val="24"/>
                <w:szCs w:val="24"/>
              </w:rPr>
              <w:t>：蔡幸伦</w:t>
            </w:r>
          </w:p>
          <w:p w14:paraId="663F1BC0" w14:textId="1BBAE493" w:rsidR="008B154A" w:rsidRDefault="0013184A" w:rsidP="007265C8">
            <w:pPr>
              <w:spacing w:line="360" w:lineRule="auto"/>
              <w:rPr>
                <w:rFonts w:ascii="宋体" w:eastAsia="宋体" w:hAnsi="宋体"/>
                <w:sz w:val="24"/>
                <w:szCs w:val="24"/>
              </w:rPr>
            </w:pPr>
            <w:r>
              <w:rPr>
                <w:rFonts w:ascii="宋体" w:eastAsia="宋体" w:hAnsi="宋体"/>
                <w:sz w:val="24"/>
                <w:szCs w:val="24"/>
              </w:rPr>
              <w:t>投资者关系高级经理：陈元元</w:t>
            </w:r>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0BBCFA5A" w14:textId="05D55E5B" w:rsidR="00305CCF" w:rsidRPr="003A37E2" w:rsidRDefault="00305CCF" w:rsidP="00305CCF">
            <w:pPr>
              <w:pStyle w:val="ac"/>
              <w:widowControl/>
              <w:numPr>
                <w:ilvl w:val="0"/>
                <w:numId w:val="16"/>
              </w:numPr>
              <w:ind w:firstLineChars="0"/>
              <w:jc w:val="left"/>
              <w:rPr>
                <w:rFonts w:ascii="宋体" w:eastAsia="宋体" w:hAnsi="宋体" w:cs="宋体"/>
                <w:b/>
                <w:bCs/>
                <w:kern w:val="0"/>
                <w:sz w:val="24"/>
                <w:szCs w:val="24"/>
              </w:rPr>
            </w:pPr>
            <w:r w:rsidRPr="003A37E2">
              <w:rPr>
                <w:rFonts w:ascii="宋体" w:eastAsia="宋体" w:hAnsi="宋体" w:cs="宋体"/>
                <w:b/>
                <w:bCs/>
                <w:kern w:val="0"/>
                <w:sz w:val="24"/>
                <w:szCs w:val="24"/>
              </w:rPr>
              <w:t>能否介绍下公司产品在宫颈癌筛查方面的特点？</w:t>
            </w:r>
          </w:p>
          <w:p w14:paraId="06EB2C75" w14:textId="03E7469D" w:rsidR="00FF41BF" w:rsidRPr="006833F0" w:rsidRDefault="00305CCF" w:rsidP="00FF41BF">
            <w:pPr>
              <w:tabs>
                <w:tab w:val="left" w:pos="240"/>
              </w:tabs>
              <w:spacing w:line="360" w:lineRule="auto"/>
              <w:ind w:firstLineChars="200" w:firstLine="480"/>
              <w:rPr>
                <w:rFonts w:ascii="宋体" w:eastAsia="宋体" w:hAnsi="宋体" w:cs="Times New Roman"/>
                <w:sz w:val="24"/>
                <w:szCs w:val="24"/>
              </w:rPr>
            </w:pPr>
            <w:r>
              <w:rPr>
                <w:rFonts w:ascii="宋体" w:eastAsia="宋体" w:hAnsi="宋体" w:cs="宋体" w:hint="eastAsia"/>
                <w:kern w:val="0"/>
                <w:sz w:val="24"/>
                <w:szCs w:val="24"/>
              </w:rPr>
              <w:t>答：</w:t>
            </w:r>
            <w:r w:rsidR="00FF41BF" w:rsidRPr="006833F0">
              <w:rPr>
                <w:rFonts w:ascii="宋体" w:eastAsia="宋体" w:hAnsi="宋体" w:cs="Times New Roman" w:hint="eastAsia"/>
                <w:sz w:val="24"/>
                <w:szCs w:val="24"/>
              </w:rPr>
              <w:t>宫颈癌的发病进程比较长，H</w:t>
            </w:r>
            <w:r w:rsidR="00FF41BF" w:rsidRPr="006833F0">
              <w:rPr>
                <w:rFonts w:ascii="宋体" w:eastAsia="宋体" w:hAnsi="宋体" w:cs="Times New Roman"/>
                <w:sz w:val="24"/>
                <w:szCs w:val="24"/>
              </w:rPr>
              <w:t>PV</w:t>
            </w:r>
            <w:r w:rsidR="00FF41BF" w:rsidRPr="006833F0">
              <w:rPr>
                <w:rFonts w:ascii="宋体" w:eastAsia="宋体" w:hAnsi="宋体" w:cs="Times New Roman" w:hint="eastAsia"/>
                <w:sz w:val="24"/>
                <w:szCs w:val="24"/>
              </w:rPr>
              <w:t>病毒感染后，往往需要8</w:t>
            </w:r>
            <w:r w:rsidR="00FF41BF" w:rsidRPr="006833F0">
              <w:rPr>
                <w:rFonts w:ascii="宋体" w:eastAsia="宋体" w:hAnsi="宋体" w:cs="Times New Roman"/>
                <w:sz w:val="24"/>
                <w:szCs w:val="24"/>
              </w:rPr>
              <w:t>-10</w:t>
            </w:r>
            <w:r w:rsidR="00FF41BF" w:rsidRPr="006833F0">
              <w:rPr>
                <w:rFonts w:ascii="宋体" w:eastAsia="宋体" w:hAnsi="宋体" w:cs="Times New Roman" w:hint="eastAsia"/>
                <w:sz w:val="24"/>
                <w:szCs w:val="24"/>
              </w:rPr>
              <w:t>年以上的时间才会发展成宫颈癌。细胞学</w:t>
            </w:r>
            <w:r w:rsidR="00FF41BF" w:rsidRPr="006833F0">
              <w:rPr>
                <w:rFonts w:ascii="宋体" w:eastAsia="宋体" w:hAnsi="宋体" w:cs="Times New Roman"/>
                <w:sz w:val="24"/>
                <w:szCs w:val="24"/>
              </w:rPr>
              <w:t>+HPV联检</w:t>
            </w:r>
            <w:r w:rsidR="00FF41BF" w:rsidRPr="006833F0">
              <w:rPr>
                <w:rFonts w:ascii="宋体" w:eastAsia="宋体" w:hAnsi="宋体" w:cs="Times New Roman" w:hint="eastAsia"/>
                <w:sz w:val="24"/>
                <w:szCs w:val="24"/>
              </w:rPr>
              <w:t>是宫颈癌筛查</w:t>
            </w:r>
            <w:r w:rsidR="003A37E2">
              <w:rPr>
                <w:rFonts w:ascii="宋体" w:eastAsia="宋体" w:hAnsi="宋体" w:cs="Times New Roman" w:hint="eastAsia"/>
                <w:sz w:val="24"/>
                <w:szCs w:val="24"/>
              </w:rPr>
              <w:t>主要</w:t>
            </w:r>
            <w:r w:rsidR="00FF41BF" w:rsidRPr="006833F0">
              <w:rPr>
                <w:rFonts w:ascii="宋体" w:eastAsia="宋体" w:hAnsi="宋体" w:cs="Times New Roman" w:hint="eastAsia"/>
                <w:sz w:val="24"/>
                <w:szCs w:val="24"/>
              </w:rPr>
              <w:t>检查</w:t>
            </w:r>
            <w:r w:rsidR="003A37E2">
              <w:rPr>
                <w:rFonts w:ascii="宋体" w:eastAsia="宋体" w:hAnsi="宋体" w:cs="Times New Roman" w:hint="eastAsia"/>
                <w:sz w:val="24"/>
                <w:szCs w:val="24"/>
              </w:rPr>
              <w:t>手段</w:t>
            </w:r>
            <w:r w:rsidR="00FF41BF" w:rsidRPr="006833F0">
              <w:rPr>
                <w:rFonts w:ascii="宋体" w:eastAsia="宋体" w:hAnsi="宋体" w:cs="Times New Roman" w:hint="eastAsia"/>
                <w:sz w:val="24"/>
                <w:szCs w:val="24"/>
              </w:rPr>
              <w:t>，目的是通过早筛查，实现早治疗，两种检查能够取长补短、相互补充。</w:t>
            </w:r>
          </w:p>
          <w:p w14:paraId="071536C9" w14:textId="2C33C75F" w:rsidR="00FF41BF" w:rsidRDefault="00FF41BF" w:rsidP="00FF41BF">
            <w:pPr>
              <w:tabs>
                <w:tab w:val="left" w:pos="240"/>
              </w:tabs>
              <w:spacing w:line="360" w:lineRule="auto"/>
              <w:ind w:firstLineChars="200" w:firstLine="480"/>
              <w:rPr>
                <w:rFonts w:ascii="宋体" w:eastAsia="宋体" w:hAnsi="宋体" w:cs="Times New Roman"/>
                <w:sz w:val="24"/>
                <w:szCs w:val="24"/>
              </w:rPr>
            </w:pPr>
            <w:r w:rsidRPr="006833F0">
              <w:rPr>
                <w:rFonts w:ascii="宋体" w:eastAsia="宋体" w:hAnsi="宋体" w:cs="Times New Roman" w:hint="eastAsia"/>
                <w:sz w:val="24"/>
                <w:szCs w:val="24"/>
              </w:rPr>
              <w:t>从方法学上来说，H</w:t>
            </w:r>
            <w:r w:rsidRPr="006833F0">
              <w:rPr>
                <w:rFonts w:ascii="宋体" w:eastAsia="宋体" w:hAnsi="宋体" w:cs="Times New Roman"/>
                <w:sz w:val="24"/>
                <w:szCs w:val="24"/>
              </w:rPr>
              <w:t>PV</w:t>
            </w:r>
            <w:r w:rsidRPr="006833F0">
              <w:rPr>
                <w:rFonts w:ascii="宋体" w:eastAsia="宋体" w:hAnsi="宋体" w:cs="Times New Roman" w:hint="eastAsia"/>
                <w:sz w:val="24"/>
                <w:szCs w:val="24"/>
              </w:rPr>
              <w:t>检测敏感性很强，可以快速检测出</w:t>
            </w:r>
            <w:r w:rsidR="003A37E2">
              <w:rPr>
                <w:rFonts w:ascii="宋体" w:eastAsia="宋体" w:hAnsi="宋体" w:cs="Times New Roman" w:hint="eastAsia"/>
                <w:sz w:val="24"/>
                <w:szCs w:val="24"/>
              </w:rPr>
              <w:t>是否有</w:t>
            </w:r>
            <w:r w:rsidRPr="006833F0">
              <w:rPr>
                <w:rFonts w:ascii="宋体" w:eastAsia="宋体" w:hAnsi="宋体" w:cs="Times New Roman" w:hint="eastAsia"/>
                <w:sz w:val="24"/>
                <w:szCs w:val="24"/>
              </w:rPr>
              <w:t>病毒感染</w:t>
            </w:r>
            <w:r w:rsidR="003A37E2">
              <w:rPr>
                <w:rFonts w:ascii="宋体" w:eastAsia="宋体" w:hAnsi="宋体" w:cs="Times New Roman" w:hint="eastAsia"/>
                <w:sz w:val="24"/>
                <w:szCs w:val="24"/>
              </w:rPr>
              <w:t>以及</w:t>
            </w:r>
            <w:r w:rsidR="00456A4F">
              <w:rPr>
                <w:rFonts w:ascii="宋体" w:eastAsia="宋体" w:hAnsi="宋体" w:cs="Times New Roman" w:hint="eastAsia"/>
                <w:sz w:val="24"/>
                <w:szCs w:val="24"/>
              </w:rPr>
              <w:t>病毒</w:t>
            </w:r>
            <w:r w:rsidR="003A37E2">
              <w:rPr>
                <w:rFonts w:ascii="宋体" w:eastAsia="宋体" w:hAnsi="宋体" w:cs="Times New Roman" w:hint="eastAsia"/>
                <w:sz w:val="24"/>
                <w:szCs w:val="24"/>
              </w:rPr>
              <w:t>型别</w:t>
            </w:r>
            <w:r w:rsidRPr="006833F0">
              <w:rPr>
                <w:rFonts w:ascii="宋体" w:eastAsia="宋体" w:hAnsi="宋体" w:cs="Times New Roman" w:hint="eastAsia"/>
                <w:sz w:val="24"/>
                <w:szCs w:val="24"/>
              </w:rPr>
              <w:t>，但是病毒的感染并不能</w:t>
            </w:r>
            <w:r w:rsidR="00B43203">
              <w:rPr>
                <w:rFonts w:ascii="宋体" w:eastAsia="宋体" w:hAnsi="宋体" w:cs="Times New Roman" w:hint="eastAsia"/>
                <w:sz w:val="24"/>
                <w:szCs w:val="24"/>
              </w:rPr>
              <w:t>反映</w:t>
            </w:r>
            <w:r w:rsidRPr="006833F0">
              <w:rPr>
                <w:rFonts w:ascii="宋体" w:eastAsia="宋体" w:hAnsi="宋体" w:cs="Times New Roman" w:hint="eastAsia"/>
                <w:sz w:val="24"/>
                <w:szCs w:val="24"/>
              </w:rPr>
              <w:t>宫颈癌的发病进程，如果呈阳性，尚需结合细胞学检测，进一步观察细胞或者组织形态的改变，医生才能确认病变程度以及相应的治疗方式。临床医生诊断</w:t>
            </w:r>
            <w:r w:rsidR="008C2A95">
              <w:rPr>
                <w:rFonts w:ascii="宋体" w:eastAsia="宋体" w:hAnsi="宋体" w:cs="Times New Roman" w:hint="eastAsia"/>
                <w:sz w:val="24"/>
                <w:szCs w:val="24"/>
              </w:rPr>
              <w:t>一般采</w:t>
            </w:r>
            <w:r w:rsidR="008C2A95">
              <w:rPr>
                <w:rFonts w:ascii="宋体" w:eastAsia="宋体" w:hAnsi="宋体" w:cs="Times New Roman" w:hint="eastAsia"/>
                <w:sz w:val="24"/>
                <w:szCs w:val="24"/>
              </w:rPr>
              <w:lastRenderedPageBreak/>
              <w:t>用</w:t>
            </w:r>
            <w:r w:rsidRPr="006833F0">
              <w:rPr>
                <w:rFonts w:ascii="宋体" w:eastAsia="宋体" w:hAnsi="宋体" w:cs="Times New Roman" w:hint="eastAsia"/>
                <w:sz w:val="24"/>
                <w:szCs w:val="24"/>
              </w:rPr>
              <w:t>联检方式，</w:t>
            </w:r>
            <w:r w:rsidR="00E966B0">
              <w:rPr>
                <w:rFonts w:ascii="宋体" w:eastAsia="宋体" w:hAnsi="宋体" w:cs="Times New Roman" w:hint="eastAsia"/>
                <w:sz w:val="24"/>
                <w:szCs w:val="24"/>
              </w:rPr>
              <w:t>包括国内宫颈癌防控指南，对于3</w:t>
            </w:r>
            <w:r w:rsidR="00E966B0">
              <w:rPr>
                <w:rFonts w:ascii="宋体" w:eastAsia="宋体" w:hAnsi="宋体" w:cs="Times New Roman"/>
                <w:sz w:val="24"/>
                <w:szCs w:val="24"/>
              </w:rPr>
              <w:t>0-64</w:t>
            </w:r>
            <w:r w:rsidR="00E966B0">
              <w:rPr>
                <w:rFonts w:ascii="宋体" w:eastAsia="宋体" w:hAnsi="宋体" w:cs="Times New Roman" w:hint="eastAsia"/>
                <w:sz w:val="24"/>
                <w:szCs w:val="24"/>
              </w:rPr>
              <w:t>岁的主流人群，也推荐细胞学+</w:t>
            </w:r>
            <w:r w:rsidR="00E966B0">
              <w:rPr>
                <w:rFonts w:ascii="宋体" w:eastAsia="宋体" w:hAnsi="宋体" w:cs="Times New Roman"/>
                <w:sz w:val="24"/>
                <w:szCs w:val="24"/>
              </w:rPr>
              <w:t>HPV</w:t>
            </w:r>
            <w:r w:rsidR="00E966B0">
              <w:rPr>
                <w:rFonts w:ascii="宋体" w:eastAsia="宋体" w:hAnsi="宋体" w:cs="Times New Roman" w:hint="eastAsia"/>
                <w:sz w:val="24"/>
                <w:szCs w:val="24"/>
              </w:rPr>
              <w:t>联检的筛查方式。我们</w:t>
            </w:r>
            <w:r>
              <w:rPr>
                <w:rFonts w:ascii="宋体" w:eastAsia="宋体" w:hAnsi="宋体" w:cs="Times New Roman" w:hint="eastAsia"/>
                <w:sz w:val="24"/>
                <w:szCs w:val="24"/>
              </w:rPr>
              <w:t>公司既有液基细胞学的试剂和设备，同样也有基于P</w:t>
            </w:r>
            <w:r>
              <w:rPr>
                <w:rFonts w:ascii="宋体" w:eastAsia="宋体" w:hAnsi="宋体" w:cs="Times New Roman"/>
                <w:sz w:val="24"/>
                <w:szCs w:val="24"/>
              </w:rPr>
              <w:t>CR</w:t>
            </w:r>
            <w:r>
              <w:rPr>
                <w:rFonts w:ascii="宋体" w:eastAsia="宋体" w:hAnsi="宋体" w:cs="Times New Roman" w:hint="eastAsia"/>
                <w:sz w:val="24"/>
                <w:szCs w:val="24"/>
              </w:rPr>
              <w:t>技术的H</w:t>
            </w:r>
            <w:r>
              <w:rPr>
                <w:rFonts w:ascii="宋体" w:eastAsia="宋体" w:hAnsi="宋体" w:cs="Times New Roman"/>
                <w:sz w:val="24"/>
                <w:szCs w:val="24"/>
              </w:rPr>
              <w:t>PV</w:t>
            </w:r>
            <w:r>
              <w:rPr>
                <w:rFonts w:ascii="宋体" w:eastAsia="宋体" w:hAnsi="宋体" w:cs="Times New Roman" w:hint="eastAsia"/>
                <w:sz w:val="24"/>
                <w:szCs w:val="24"/>
              </w:rPr>
              <w:t>基因检测试剂产品，</w:t>
            </w:r>
            <w:r w:rsidRPr="006833F0">
              <w:rPr>
                <w:rFonts w:ascii="宋体" w:eastAsia="宋体" w:hAnsi="宋体" w:cs="Times New Roman" w:hint="eastAsia"/>
                <w:sz w:val="24"/>
                <w:szCs w:val="24"/>
              </w:rPr>
              <w:t>是市场上少数可以提供联检的公司。</w:t>
            </w:r>
          </w:p>
          <w:p w14:paraId="53E36BEC" w14:textId="606E6F60" w:rsidR="00FF41BF" w:rsidRDefault="00FF41BF" w:rsidP="00614A8F">
            <w:pPr>
              <w:tabs>
                <w:tab w:val="left" w:pos="240"/>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为了提高核心竞争力，公司此前一直在布局数字化病理产品，在宫颈癌筛查中，已经形成了“试剂+</w:t>
            </w:r>
            <w:r w:rsidR="00614A8F">
              <w:rPr>
                <w:rFonts w:ascii="宋体" w:eastAsia="宋体" w:hAnsi="宋体" w:cs="Times New Roman" w:hint="eastAsia"/>
                <w:sz w:val="24"/>
                <w:szCs w:val="24"/>
              </w:rPr>
              <w:t>制片染色</w:t>
            </w:r>
            <w:r>
              <w:rPr>
                <w:rFonts w:ascii="宋体" w:eastAsia="宋体" w:hAnsi="宋体" w:cs="Times New Roman" w:hint="eastAsia"/>
                <w:sz w:val="24"/>
                <w:szCs w:val="24"/>
              </w:rPr>
              <w:t>设备+扫描仪+</w:t>
            </w:r>
            <w:r>
              <w:rPr>
                <w:rFonts w:ascii="宋体" w:eastAsia="宋体" w:hAnsi="宋体" w:cs="Times New Roman"/>
                <w:sz w:val="24"/>
                <w:szCs w:val="24"/>
              </w:rPr>
              <w:t>AI</w:t>
            </w:r>
            <w:r>
              <w:rPr>
                <w:rFonts w:ascii="宋体" w:eastAsia="宋体" w:hAnsi="宋体" w:cs="Times New Roman" w:hint="eastAsia"/>
                <w:sz w:val="24"/>
                <w:szCs w:val="24"/>
              </w:rPr>
              <w:t>判读”的智能</w:t>
            </w:r>
            <w:r w:rsidR="00614A8F">
              <w:rPr>
                <w:rFonts w:ascii="宋体" w:eastAsia="宋体" w:hAnsi="宋体" w:cs="Times New Roman" w:hint="eastAsia"/>
                <w:sz w:val="24"/>
                <w:szCs w:val="24"/>
              </w:rPr>
              <w:t>化整体</w:t>
            </w:r>
            <w:r>
              <w:rPr>
                <w:rFonts w:ascii="宋体" w:eastAsia="宋体" w:hAnsi="宋体" w:cs="Times New Roman" w:hint="eastAsia"/>
                <w:sz w:val="24"/>
                <w:szCs w:val="24"/>
              </w:rPr>
              <w:t>筛查方案。基于智能化筛查的优势，</w:t>
            </w:r>
            <w:r w:rsidRPr="006833F0">
              <w:rPr>
                <w:rFonts w:ascii="宋体" w:eastAsia="宋体" w:hAnsi="宋体" w:cs="Times New Roman" w:hint="eastAsia"/>
                <w:sz w:val="24"/>
                <w:szCs w:val="24"/>
              </w:rPr>
              <w:t>公司</w:t>
            </w:r>
            <w:r>
              <w:rPr>
                <w:rFonts w:ascii="宋体" w:eastAsia="宋体" w:hAnsi="宋体" w:cs="Times New Roman" w:hint="eastAsia"/>
                <w:sz w:val="24"/>
                <w:szCs w:val="24"/>
              </w:rPr>
              <w:t>在</w:t>
            </w:r>
            <w:r w:rsidRPr="006833F0">
              <w:rPr>
                <w:rFonts w:ascii="宋体" w:eastAsia="宋体" w:hAnsi="宋体" w:cs="Times New Roman" w:hint="eastAsia"/>
                <w:sz w:val="24"/>
                <w:szCs w:val="24"/>
              </w:rPr>
              <w:t>巩固</w:t>
            </w:r>
            <w:r>
              <w:rPr>
                <w:rFonts w:ascii="宋体" w:eastAsia="宋体" w:hAnsi="宋体" w:cs="Times New Roman" w:hint="eastAsia"/>
                <w:sz w:val="24"/>
                <w:szCs w:val="24"/>
              </w:rPr>
              <w:t>提高</w:t>
            </w:r>
            <w:r w:rsidRPr="006833F0">
              <w:rPr>
                <w:rFonts w:ascii="宋体" w:eastAsia="宋体" w:hAnsi="宋体" w:cs="Times New Roman" w:hint="eastAsia"/>
                <w:sz w:val="24"/>
                <w:szCs w:val="24"/>
              </w:rPr>
              <w:t>原有的临床市场之外，还会继续拓展两癌筛查</w:t>
            </w:r>
            <w:r>
              <w:rPr>
                <w:rFonts w:ascii="宋体" w:eastAsia="宋体" w:hAnsi="宋体" w:cs="Times New Roman" w:hint="eastAsia"/>
                <w:sz w:val="24"/>
                <w:szCs w:val="24"/>
              </w:rPr>
              <w:t>市场、</w:t>
            </w:r>
            <w:r w:rsidRPr="006833F0">
              <w:rPr>
                <w:rFonts w:ascii="宋体" w:eastAsia="宋体" w:hAnsi="宋体" w:cs="Times New Roman" w:hint="eastAsia"/>
                <w:sz w:val="24"/>
                <w:szCs w:val="24"/>
              </w:rPr>
              <w:t>体检市场和海外市场。</w:t>
            </w:r>
          </w:p>
          <w:p w14:paraId="4862EB33" w14:textId="542E09C0" w:rsidR="00C00FC4" w:rsidRPr="003A37E2" w:rsidRDefault="00C00FC4" w:rsidP="003A37E2">
            <w:pPr>
              <w:pStyle w:val="ac"/>
              <w:widowControl/>
              <w:numPr>
                <w:ilvl w:val="0"/>
                <w:numId w:val="16"/>
              </w:numPr>
              <w:spacing w:before="240" w:line="360" w:lineRule="auto"/>
              <w:ind w:firstLineChars="0"/>
              <w:jc w:val="left"/>
              <w:rPr>
                <w:rFonts w:ascii="宋体" w:eastAsia="宋体" w:hAnsi="宋体" w:cs="Times New Roman"/>
                <w:b/>
                <w:bCs/>
                <w:sz w:val="24"/>
                <w:szCs w:val="24"/>
              </w:rPr>
            </w:pPr>
            <w:r w:rsidRPr="003A37E2">
              <w:rPr>
                <w:rFonts w:ascii="宋体" w:eastAsia="宋体" w:hAnsi="宋体" w:cs="Times New Roman" w:hint="eastAsia"/>
                <w:b/>
                <w:bCs/>
                <w:sz w:val="24"/>
                <w:szCs w:val="24"/>
              </w:rPr>
              <w:t>宫颈癌筛查的市场空间该怎么看？</w:t>
            </w:r>
          </w:p>
          <w:p w14:paraId="2D333596" w14:textId="1369F72B" w:rsidR="00C00FC4" w:rsidRDefault="00C00FC4" w:rsidP="00AB2E34">
            <w:pPr>
              <w:widowControl/>
              <w:spacing w:line="360" w:lineRule="auto"/>
              <w:ind w:firstLineChars="200" w:firstLine="480"/>
              <w:jc w:val="left"/>
              <w:rPr>
                <w:rFonts w:ascii="宋体" w:eastAsia="宋体" w:hAnsi="宋体" w:cs="Times New Roman"/>
                <w:sz w:val="24"/>
                <w:szCs w:val="24"/>
              </w:rPr>
            </w:pPr>
            <w:r w:rsidRPr="00AB2E34">
              <w:rPr>
                <w:rFonts w:ascii="宋体" w:eastAsia="宋体" w:hAnsi="宋体" w:cs="Times New Roman" w:hint="eastAsia"/>
                <w:sz w:val="24"/>
                <w:szCs w:val="24"/>
              </w:rPr>
              <w:t>答：</w:t>
            </w:r>
            <w:r w:rsidR="009B7AE0">
              <w:rPr>
                <w:rFonts w:ascii="宋体" w:eastAsia="宋体" w:hAnsi="宋体" w:cs="Times New Roman" w:hint="eastAsia"/>
                <w:sz w:val="24"/>
                <w:szCs w:val="24"/>
              </w:rPr>
              <w:t>中国有4亿适龄女性，如果按照每三年筛查一次，渗透率达到8</w:t>
            </w:r>
            <w:r w:rsidR="009B7AE0">
              <w:rPr>
                <w:rFonts w:ascii="宋体" w:eastAsia="宋体" w:hAnsi="宋体" w:cs="Times New Roman"/>
                <w:sz w:val="24"/>
                <w:szCs w:val="24"/>
              </w:rPr>
              <w:t>0%</w:t>
            </w:r>
            <w:r w:rsidR="009B7AE0">
              <w:rPr>
                <w:rFonts w:ascii="宋体" w:eastAsia="宋体" w:hAnsi="宋体" w:cs="Times New Roman" w:hint="eastAsia"/>
                <w:sz w:val="24"/>
                <w:szCs w:val="24"/>
              </w:rPr>
              <w:t>，每年大约有1亿多人次需要进行宫颈癌筛查。如果按照细胞学+</w:t>
            </w:r>
            <w:r w:rsidR="009B7AE0">
              <w:rPr>
                <w:rFonts w:ascii="宋体" w:eastAsia="宋体" w:hAnsi="宋体" w:cs="Times New Roman"/>
                <w:sz w:val="24"/>
                <w:szCs w:val="24"/>
              </w:rPr>
              <w:t>HPV</w:t>
            </w:r>
            <w:r w:rsidR="009B7AE0">
              <w:rPr>
                <w:rFonts w:ascii="宋体" w:eastAsia="宋体" w:hAnsi="宋体" w:cs="Times New Roman" w:hint="eastAsia"/>
                <w:sz w:val="24"/>
                <w:szCs w:val="24"/>
              </w:rPr>
              <w:t>联检测算，市场空间大约有1</w:t>
            </w:r>
            <w:r w:rsidR="009B7AE0">
              <w:rPr>
                <w:rFonts w:ascii="宋体" w:eastAsia="宋体" w:hAnsi="宋体" w:cs="Times New Roman"/>
                <w:sz w:val="24"/>
                <w:szCs w:val="24"/>
              </w:rPr>
              <w:t>90</w:t>
            </w:r>
            <w:r w:rsidR="009B7AE0">
              <w:rPr>
                <w:rFonts w:ascii="宋体" w:eastAsia="宋体" w:hAnsi="宋体" w:cs="Times New Roman" w:hint="eastAsia"/>
                <w:sz w:val="24"/>
                <w:szCs w:val="24"/>
              </w:rPr>
              <w:t>亿元。</w:t>
            </w:r>
            <w:r w:rsidR="00AB2E34" w:rsidRPr="00AB2E34">
              <w:rPr>
                <w:rFonts w:ascii="宋体" w:eastAsia="宋体" w:hAnsi="宋体" w:cs="Times New Roman" w:hint="eastAsia"/>
                <w:sz w:val="24"/>
                <w:szCs w:val="24"/>
              </w:rPr>
              <w:t>由于我国医疗资源分布不均，以及大众对宫颈癌筛查的认知不够充分</w:t>
            </w:r>
            <w:r w:rsidR="00AB2E34">
              <w:rPr>
                <w:rFonts w:ascii="宋体" w:eastAsia="宋体" w:hAnsi="宋体" w:cs="Times New Roman" w:hint="eastAsia"/>
                <w:sz w:val="24"/>
                <w:szCs w:val="24"/>
              </w:rPr>
              <w:t>，我国宫颈癌筛查整体渗透率不足3</w:t>
            </w:r>
            <w:r w:rsidR="00AB2E34">
              <w:rPr>
                <w:rFonts w:ascii="宋体" w:eastAsia="宋体" w:hAnsi="宋体" w:cs="Times New Roman"/>
                <w:sz w:val="24"/>
                <w:szCs w:val="24"/>
              </w:rPr>
              <w:t>0%</w:t>
            </w:r>
            <w:r w:rsidR="00AB2E34">
              <w:rPr>
                <w:rFonts w:ascii="宋体" w:eastAsia="宋体" w:hAnsi="宋体" w:cs="Times New Roman" w:hint="eastAsia"/>
                <w:sz w:val="24"/>
                <w:szCs w:val="24"/>
              </w:rPr>
              <w:t>，尤其是中西部以及农村地区覆盖率更低。</w:t>
            </w:r>
          </w:p>
          <w:p w14:paraId="36F2A78F" w14:textId="22914DBE" w:rsidR="00244A51" w:rsidRDefault="00750348" w:rsidP="003A37E2">
            <w:pPr>
              <w:widowControl/>
              <w:spacing w:line="360" w:lineRule="auto"/>
              <w:ind w:firstLineChars="200" w:firstLine="480"/>
              <w:jc w:val="left"/>
              <w:rPr>
                <w:rFonts w:ascii="宋体" w:eastAsia="宋体" w:hAnsi="宋体" w:cs="Times New Roman"/>
                <w:sz w:val="24"/>
                <w:szCs w:val="24"/>
              </w:rPr>
            </w:pPr>
            <w:r w:rsidRPr="00750348">
              <w:rPr>
                <w:rFonts w:ascii="宋体" w:eastAsia="宋体" w:hAnsi="宋体" w:cs="Times New Roman"/>
                <w:sz w:val="24"/>
                <w:szCs w:val="24"/>
              </w:rPr>
              <w:t>2023年1月，国家卫健委发文《关于印发加速消除宫颈癌行动计划（2023-2030）的通知》提出：到2025年，适龄妇女宫颈癌筛查率达到50%；到2030年，适龄妇女宫颈癌筛查率达到70%。同时明确通过为年轻女性接种HPV疫苗、在适龄女性中开展宫颈癌筛查、及时治疗宫颈癌及癌前病变等三级预防措施能够有效防控并最终实现消除宫颈癌。并提出要促进新技术参与宫颈癌防治，积极推广宫颈癌筛查和诊疗适宜技术，探索运用互联网、人工智能等新技术优化宫颈癌筛查和诊疗服务流程。</w:t>
            </w:r>
            <w:r w:rsidR="00614A8F" w:rsidRPr="00614A8F">
              <w:rPr>
                <w:rFonts w:ascii="宋体" w:eastAsia="宋体" w:hAnsi="宋体" w:cs="Times New Roman"/>
                <w:sz w:val="24"/>
                <w:szCs w:val="24"/>
              </w:rPr>
              <w:t>未来几年，我国宫颈癌筛查市场</w:t>
            </w:r>
            <w:r w:rsidR="00614A8F">
              <w:rPr>
                <w:rFonts w:ascii="宋体" w:eastAsia="宋体" w:hAnsi="宋体" w:cs="Times New Roman" w:hint="eastAsia"/>
                <w:sz w:val="24"/>
                <w:szCs w:val="24"/>
              </w:rPr>
              <w:t>无论是对试剂设备、还是智能化需求方面均有</w:t>
            </w:r>
            <w:r w:rsidR="00614A8F" w:rsidRPr="00614A8F">
              <w:rPr>
                <w:rFonts w:ascii="宋体" w:eastAsia="宋体" w:hAnsi="宋体" w:cs="Times New Roman"/>
                <w:sz w:val="24"/>
                <w:szCs w:val="24"/>
              </w:rPr>
              <w:t>很大增长空间。</w:t>
            </w:r>
          </w:p>
          <w:p w14:paraId="7157B146" w14:textId="442C83CA" w:rsidR="00244A51" w:rsidRPr="003A37E2" w:rsidRDefault="00677F0D" w:rsidP="003A37E2">
            <w:pPr>
              <w:pStyle w:val="ac"/>
              <w:widowControl/>
              <w:numPr>
                <w:ilvl w:val="0"/>
                <w:numId w:val="16"/>
              </w:numPr>
              <w:spacing w:before="240" w:line="360" w:lineRule="auto"/>
              <w:ind w:firstLineChars="0"/>
              <w:jc w:val="left"/>
              <w:rPr>
                <w:rFonts w:ascii="宋体" w:eastAsia="宋体" w:hAnsi="宋体" w:cs="Times New Roman"/>
                <w:b/>
                <w:bCs/>
                <w:sz w:val="24"/>
                <w:szCs w:val="24"/>
              </w:rPr>
            </w:pPr>
            <w:r w:rsidRPr="003A37E2">
              <w:rPr>
                <w:rFonts w:ascii="宋体" w:eastAsia="宋体" w:hAnsi="宋体" w:cs="Times New Roman" w:hint="eastAsia"/>
                <w:b/>
                <w:bCs/>
                <w:sz w:val="24"/>
                <w:szCs w:val="24"/>
              </w:rPr>
              <w:t>能否介绍下公司病理A</w:t>
            </w:r>
            <w:r w:rsidRPr="003A37E2">
              <w:rPr>
                <w:rFonts w:ascii="宋体" w:eastAsia="宋体" w:hAnsi="宋体" w:cs="Times New Roman"/>
                <w:b/>
                <w:bCs/>
                <w:sz w:val="24"/>
                <w:szCs w:val="24"/>
              </w:rPr>
              <w:t>I</w:t>
            </w:r>
            <w:r w:rsidRPr="003A37E2">
              <w:rPr>
                <w:rFonts w:ascii="宋体" w:eastAsia="宋体" w:hAnsi="宋体" w:cs="Times New Roman" w:hint="eastAsia"/>
                <w:b/>
                <w:bCs/>
                <w:sz w:val="24"/>
                <w:szCs w:val="24"/>
              </w:rPr>
              <w:t>的</w:t>
            </w:r>
            <w:r w:rsidR="00377F3E" w:rsidRPr="003A37E2">
              <w:rPr>
                <w:rFonts w:ascii="宋体" w:eastAsia="宋体" w:hAnsi="宋体" w:cs="Times New Roman" w:hint="eastAsia"/>
                <w:b/>
                <w:bCs/>
                <w:sz w:val="24"/>
                <w:szCs w:val="24"/>
              </w:rPr>
              <w:t>业务模式</w:t>
            </w:r>
            <w:r w:rsidR="00244A51" w:rsidRPr="003A37E2">
              <w:rPr>
                <w:rFonts w:ascii="宋体" w:eastAsia="宋体" w:hAnsi="宋体" w:cs="Times New Roman" w:hint="eastAsia"/>
                <w:b/>
                <w:bCs/>
                <w:sz w:val="24"/>
                <w:szCs w:val="24"/>
              </w:rPr>
              <w:t>？</w:t>
            </w:r>
          </w:p>
          <w:p w14:paraId="7FF55A04" w14:textId="26B7BDCF" w:rsidR="00E64767" w:rsidRDefault="00C30567" w:rsidP="003A37E2">
            <w:pPr>
              <w:widowControl/>
              <w:spacing w:line="360" w:lineRule="auto"/>
              <w:ind w:firstLineChars="200" w:firstLine="480"/>
              <w:jc w:val="left"/>
              <w:rPr>
                <w:rFonts w:ascii="宋体" w:eastAsia="宋体" w:hAnsi="宋体" w:cs="Times New Roman"/>
                <w:color w:val="FF0000"/>
                <w:sz w:val="24"/>
                <w:szCs w:val="24"/>
              </w:rPr>
            </w:pPr>
            <w:r w:rsidRPr="00C30567">
              <w:rPr>
                <w:rFonts w:ascii="宋体" w:eastAsia="宋体" w:hAnsi="宋体" w:cs="Times New Roman" w:hint="eastAsia"/>
                <w:sz w:val="24"/>
                <w:szCs w:val="24"/>
              </w:rPr>
              <w:t>答：</w:t>
            </w:r>
            <w:r w:rsidR="00377F3E" w:rsidRPr="003E3F3E">
              <w:rPr>
                <w:rFonts w:ascii="宋体" w:eastAsia="宋体" w:hAnsi="宋体" w:cs="Times New Roman" w:hint="eastAsia"/>
                <w:sz w:val="24"/>
                <w:szCs w:val="24"/>
              </w:rPr>
              <w:t>公司的宫颈细胞学</w:t>
            </w:r>
            <w:r w:rsidR="00377F3E" w:rsidRPr="003E3F3E">
              <w:rPr>
                <w:rFonts w:ascii="宋体" w:eastAsia="宋体" w:hAnsi="宋体" w:cs="Times New Roman"/>
                <w:sz w:val="24"/>
                <w:szCs w:val="24"/>
              </w:rPr>
              <w:t>AI，最主要解决的问题是筛阴工作。国内病理医生比较缺乏，细胞学诊断特别依赖医生的判读，我们预期的场景是，通过AI完成大部分的筛阴工作，进而让医生把主要精力集中在可</w:t>
            </w:r>
            <w:r w:rsidR="00377F3E">
              <w:rPr>
                <w:rFonts w:ascii="宋体" w:eastAsia="宋体" w:hAnsi="宋体" w:cs="Times New Roman"/>
                <w:sz w:val="24"/>
                <w:szCs w:val="24"/>
              </w:rPr>
              <w:t>疑</w:t>
            </w:r>
            <w:r w:rsidR="00377F3E" w:rsidRPr="003E3F3E">
              <w:rPr>
                <w:rFonts w:ascii="宋体" w:eastAsia="宋体" w:hAnsi="宋体" w:cs="Times New Roman"/>
                <w:sz w:val="24"/>
                <w:szCs w:val="24"/>
              </w:rPr>
              <w:t>点位，提高诊断效率和诊断准确性。</w:t>
            </w:r>
          </w:p>
          <w:p w14:paraId="56B546B7" w14:textId="77777777" w:rsidR="00E64767" w:rsidRPr="003A37E2" w:rsidRDefault="00E64767" w:rsidP="003A37E2">
            <w:pPr>
              <w:pStyle w:val="ac"/>
              <w:numPr>
                <w:ilvl w:val="0"/>
                <w:numId w:val="16"/>
              </w:numPr>
              <w:spacing w:before="240" w:line="360" w:lineRule="auto"/>
              <w:ind w:firstLineChars="0"/>
              <w:rPr>
                <w:rFonts w:ascii="宋体" w:eastAsia="宋体" w:hAnsi="宋体" w:cs="Times New Roman"/>
                <w:b/>
                <w:bCs/>
                <w:sz w:val="24"/>
                <w:szCs w:val="24"/>
              </w:rPr>
            </w:pPr>
            <w:r w:rsidRPr="003A37E2">
              <w:rPr>
                <w:rFonts w:ascii="宋体" w:eastAsia="宋体" w:hAnsi="宋体" w:cs="Times New Roman" w:hint="eastAsia"/>
                <w:b/>
                <w:bCs/>
                <w:sz w:val="24"/>
                <w:szCs w:val="24"/>
              </w:rPr>
              <w:lastRenderedPageBreak/>
              <w:t>公司病理</w:t>
            </w:r>
            <w:r w:rsidRPr="003A37E2">
              <w:rPr>
                <w:rFonts w:ascii="宋体" w:eastAsia="宋体" w:hAnsi="宋体" w:cs="Times New Roman"/>
                <w:b/>
                <w:bCs/>
                <w:sz w:val="24"/>
                <w:szCs w:val="24"/>
              </w:rPr>
              <w:t>AI的</w:t>
            </w:r>
            <w:r w:rsidRPr="003A37E2">
              <w:rPr>
                <w:rFonts w:ascii="宋体" w:eastAsia="宋体" w:hAnsi="宋体" w:cs="Times New Roman" w:hint="eastAsia"/>
                <w:b/>
                <w:bCs/>
                <w:sz w:val="24"/>
                <w:szCs w:val="24"/>
              </w:rPr>
              <w:t>优势以及发展预期</w:t>
            </w:r>
            <w:r w:rsidRPr="003A37E2">
              <w:rPr>
                <w:rFonts w:ascii="宋体" w:eastAsia="宋体" w:hAnsi="宋体" w:cs="Times New Roman"/>
                <w:b/>
                <w:bCs/>
                <w:sz w:val="24"/>
                <w:szCs w:val="24"/>
              </w:rPr>
              <w:t>是什么？</w:t>
            </w:r>
          </w:p>
          <w:p w14:paraId="37CC3BBF" w14:textId="3FE77939" w:rsidR="00CA58B4" w:rsidRPr="003A37E2" w:rsidRDefault="00E64767" w:rsidP="003A37E2">
            <w:pPr>
              <w:spacing w:line="360" w:lineRule="auto"/>
              <w:ind w:firstLineChars="200" w:firstLine="480"/>
              <w:rPr>
                <w:rFonts w:ascii="宋体" w:eastAsia="宋体" w:hAnsi="宋体" w:cs="Times New Roman"/>
                <w:sz w:val="24"/>
                <w:szCs w:val="24"/>
              </w:rPr>
            </w:pPr>
            <w:r w:rsidRPr="003E3F3E">
              <w:rPr>
                <w:rFonts w:ascii="宋体" w:eastAsia="宋体" w:hAnsi="宋体" w:cs="Times New Roman" w:hint="eastAsia"/>
                <w:sz w:val="24"/>
                <w:szCs w:val="24"/>
              </w:rPr>
              <w:t>答：</w:t>
            </w:r>
            <w:r w:rsidR="00377F3E">
              <w:rPr>
                <w:rFonts w:ascii="宋体" w:eastAsia="宋体" w:hAnsi="宋体" w:cs="Times New Roman" w:hint="eastAsia"/>
                <w:sz w:val="24"/>
                <w:szCs w:val="24"/>
              </w:rPr>
              <w:t>公司打造的是“细胞学试剂+制片染色设备+扫描仪+</w:t>
            </w:r>
            <w:r w:rsidR="00377F3E">
              <w:rPr>
                <w:rFonts w:ascii="宋体" w:eastAsia="宋体" w:hAnsi="宋体" w:cs="Times New Roman"/>
                <w:sz w:val="24"/>
                <w:szCs w:val="24"/>
              </w:rPr>
              <w:t>AI</w:t>
            </w:r>
            <w:r w:rsidR="00377F3E">
              <w:rPr>
                <w:rFonts w:ascii="宋体" w:eastAsia="宋体" w:hAnsi="宋体" w:cs="Times New Roman" w:hint="eastAsia"/>
                <w:sz w:val="24"/>
                <w:szCs w:val="24"/>
              </w:rPr>
              <w:t>判读”智能化整体筛查方案，以保证我们A</w:t>
            </w:r>
            <w:r w:rsidR="00377F3E">
              <w:rPr>
                <w:rFonts w:ascii="宋体" w:eastAsia="宋体" w:hAnsi="宋体" w:cs="Times New Roman"/>
                <w:sz w:val="24"/>
                <w:szCs w:val="24"/>
              </w:rPr>
              <w:t>I</w:t>
            </w:r>
            <w:r w:rsidR="00377F3E">
              <w:rPr>
                <w:rFonts w:ascii="宋体" w:eastAsia="宋体" w:hAnsi="宋体" w:cs="Times New Roman" w:hint="eastAsia"/>
                <w:sz w:val="24"/>
                <w:szCs w:val="24"/>
              </w:rPr>
              <w:t>的准确性和稳定性。通过扫描仪和A</w:t>
            </w:r>
            <w:r w:rsidR="00377F3E">
              <w:rPr>
                <w:rFonts w:ascii="宋体" w:eastAsia="宋体" w:hAnsi="宋体" w:cs="Times New Roman"/>
                <w:sz w:val="24"/>
                <w:szCs w:val="24"/>
              </w:rPr>
              <w:t>I</w:t>
            </w:r>
            <w:r w:rsidR="00377F3E">
              <w:rPr>
                <w:rFonts w:ascii="宋体" w:eastAsia="宋体" w:hAnsi="宋体" w:cs="Times New Roman" w:hint="eastAsia"/>
                <w:sz w:val="24"/>
                <w:szCs w:val="24"/>
              </w:rPr>
              <w:t>判读，</w:t>
            </w:r>
            <w:r w:rsidR="00FD14D0">
              <w:rPr>
                <w:rFonts w:ascii="宋体" w:eastAsia="宋体" w:hAnsi="宋体" w:cs="Times New Roman" w:hint="eastAsia"/>
                <w:sz w:val="24"/>
                <w:szCs w:val="24"/>
              </w:rPr>
              <w:t>可以</w:t>
            </w:r>
            <w:r w:rsidR="00377F3E">
              <w:rPr>
                <w:rFonts w:ascii="宋体" w:eastAsia="宋体" w:hAnsi="宋体" w:cs="Times New Roman" w:hint="eastAsia"/>
                <w:sz w:val="24"/>
                <w:szCs w:val="24"/>
              </w:rPr>
              <w:t>提高我们</w:t>
            </w:r>
            <w:r w:rsidR="003F0450">
              <w:rPr>
                <w:rFonts w:ascii="宋体" w:eastAsia="宋体" w:hAnsi="宋体" w:cs="Times New Roman" w:hint="eastAsia"/>
                <w:sz w:val="24"/>
                <w:szCs w:val="24"/>
              </w:rPr>
              <w:t>原有技术平台</w:t>
            </w:r>
            <w:r w:rsidR="00377F3E">
              <w:rPr>
                <w:rFonts w:ascii="宋体" w:eastAsia="宋体" w:hAnsi="宋体" w:cs="Times New Roman" w:hint="eastAsia"/>
                <w:sz w:val="24"/>
                <w:szCs w:val="24"/>
              </w:rPr>
              <w:t>的核心竞争力，对细胞学试剂形成有效的护城河以及拉动效应。</w:t>
            </w:r>
          </w:p>
          <w:p w14:paraId="59F0AE39" w14:textId="77777777" w:rsidR="0008462D" w:rsidRPr="003A37E2" w:rsidRDefault="0008462D" w:rsidP="003A37E2">
            <w:pPr>
              <w:pStyle w:val="ac"/>
              <w:numPr>
                <w:ilvl w:val="0"/>
                <w:numId w:val="16"/>
              </w:numPr>
              <w:spacing w:before="240" w:line="360" w:lineRule="auto"/>
              <w:ind w:firstLineChars="0"/>
              <w:rPr>
                <w:rFonts w:ascii="宋体" w:eastAsia="宋体" w:hAnsi="宋体" w:cs="Times New Roman"/>
                <w:b/>
                <w:bCs/>
                <w:sz w:val="24"/>
                <w:szCs w:val="24"/>
              </w:rPr>
            </w:pPr>
            <w:r w:rsidRPr="003A37E2">
              <w:rPr>
                <w:rFonts w:ascii="宋体" w:eastAsia="宋体" w:hAnsi="宋体" w:cs="Times New Roman" w:hint="eastAsia"/>
                <w:b/>
                <w:bCs/>
                <w:sz w:val="24"/>
                <w:szCs w:val="24"/>
              </w:rPr>
              <w:t>能否介绍下</w:t>
            </w:r>
            <w:r w:rsidRPr="003A37E2">
              <w:rPr>
                <w:rFonts w:ascii="宋体" w:eastAsia="宋体" w:hAnsi="宋体" w:cs="Times New Roman"/>
                <w:b/>
                <w:bCs/>
                <w:sz w:val="24"/>
                <w:szCs w:val="24"/>
              </w:rPr>
              <w:t>公司共建业务的模式以及</w:t>
            </w:r>
            <w:r w:rsidRPr="003A37E2">
              <w:rPr>
                <w:rFonts w:ascii="宋体" w:eastAsia="宋体" w:hAnsi="宋体" w:cs="Times New Roman" w:hint="eastAsia"/>
                <w:b/>
                <w:bCs/>
                <w:sz w:val="24"/>
                <w:szCs w:val="24"/>
              </w:rPr>
              <w:t>发展</w:t>
            </w:r>
            <w:r w:rsidRPr="003A37E2">
              <w:rPr>
                <w:rFonts w:ascii="宋体" w:eastAsia="宋体" w:hAnsi="宋体" w:cs="Times New Roman"/>
                <w:b/>
                <w:bCs/>
                <w:sz w:val="24"/>
                <w:szCs w:val="24"/>
              </w:rPr>
              <w:t>前景？</w:t>
            </w:r>
          </w:p>
          <w:p w14:paraId="0158A26B" w14:textId="77777777" w:rsidR="0008462D" w:rsidRPr="00231FAB" w:rsidRDefault="0008462D" w:rsidP="0008462D">
            <w:pPr>
              <w:spacing w:line="360" w:lineRule="auto"/>
              <w:ind w:firstLineChars="200" w:firstLine="480"/>
              <w:rPr>
                <w:rFonts w:ascii="宋体" w:eastAsia="宋体" w:hAnsi="宋体" w:cs="Times New Roman"/>
                <w:sz w:val="24"/>
                <w:szCs w:val="24"/>
              </w:rPr>
            </w:pPr>
            <w:r w:rsidRPr="00231FAB">
              <w:rPr>
                <w:rFonts w:ascii="宋体" w:eastAsia="宋体" w:hAnsi="宋体" w:cs="Times New Roman" w:hint="eastAsia"/>
                <w:sz w:val="24"/>
                <w:szCs w:val="24"/>
              </w:rPr>
              <w:t>答：公司自</w:t>
            </w:r>
            <w:r w:rsidRPr="00231FAB">
              <w:rPr>
                <w:rFonts w:ascii="宋体" w:eastAsia="宋体" w:hAnsi="宋体" w:cs="Times New Roman"/>
                <w:sz w:val="24"/>
                <w:szCs w:val="24"/>
              </w:rPr>
              <w:t>2021年开展共建业务并实现首年收入以来，已经形成针对不同层级病理科的不同需要，提供定制化共建服务。</w:t>
            </w:r>
          </w:p>
          <w:p w14:paraId="405B90F4" w14:textId="0E5E04D9" w:rsidR="0008462D" w:rsidRPr="00231FAB" w:rsidRDefault="0008462D" w:rsidP="0008462D">
            <w:pPr>
              <w:spacing w:line="360" w:lineRule="auto"/>
              <w:ind w:firstLineChars="200" w:firstLine="480"/>
              <w:rPr>
                <w:rFonts w:ascii="宋体" w:eastAsia="宋体" w:hAnsi="宋体" w:cs="Times New Roman"/>
                <w:sz w:val="24"/>
                <w:szCs w:val="24"/>
              </w:rPr>
            </w:pPr>
            <w:r w:rsidRPr="00231FAB">
              <w:rPr>
                <w:rFonts w:ascii="宋体" w:eastAsia="宋体" w:hAnsi="宋体" w:cs="Times New Roman"/>
                <w:sz w:val="24"/>
                <w:szCs w:val="24"/>
              </w:rPr>
              <w:t>对于基层医院来说，《国家卫生健康委办公厅关于印发“千县工程”县医院综合能力提升工作方案（2021-2025 年）的通知》显示，要力争通过5年努力，全国至少1000家县医院达到三级医院医疗服务能力水平。“千县工程”中明确指</w:t>
            </w:r>
            <w:r w:rsidRPr="00231FAB">
              <w:rPr>
                <w:rFonts w:ascii="宋体" w:eastAsia="宋体" w:hAnsi="宋体" w:cs="Times New Roman" w:hint="eastAsia"/>
                <w:sz w:val="24"/>
                <w:szCs w:val="24"/>
              </w:rPr>
              <w:t>出组建的肿瘤防治中心、病理资源共享中心，均离不开病理科的支撑。病理科的建设与升级成为</w:t>
            </w:r>
            <w:r w:rsidRPr="00231FAB">
              <w:rPr>
                <w:rFonts w:ascii="宋体" w:eastAsia="宋体" w:hAnsi="宋体" w:cs="Times New Roman"/>
                <w:sz w:val="24"/>
                <w:szCs w:val="24"/>
              </w:rPr>
              <w:t xml:space="preserve"> 1000 多家县级医院的重点任务之一，是刚需。其次对于已经配置有病理科的</w:t>
            </w:r>
            <w:r>
              <w:rPr>
                <w:rFonts w:ascii="宋体" w:eastAsia="宋体" w:hAnsi="宋体" w:cs="Times New Roman"/>
                <w:sz w:val="24"/>
                <w:szCs w:val="24"/>
              </w:rPr>
              <w:t>部分</w:t>
            </w:r>
            <w:r w:rsidRPr="00231FAB">
              <w:rPr>
                <w:rFonts w:ascii="宋体" w:eastAsia="宋体" w:hAnsi="宋体" w:cs="Times New Roman"/>
                <w:sz w:val="24"/>
                <w:szCs w:val="24"/>
              </w:rPr>
              <w:t>医院及医疗机构来说，病理诊断水平和能力较弱、有病理资质却无诊断能力或无疑难诊断能力等问题制约着病理科的发展。公司的病理共建业务能够为这些医院、医疗机构提供</w:t>
            </w:r>
            <w:r>
              <w:rPr>
                <w:rFonts w:ascii="宋体" w:eastAsia="宋体" w:hAnsi="宋体" w:cs="Times New Roman" w:hint="eastAsia"/>
                <w:sz w:val="24"/>
                <w:szCs w:val="24"/>
              </w:rPr>
              <w:t>定制化的</w:t>
            </w:r>
            <w:r w:rsidRPr="00231FAB">
              <w:rPr>
                <w:rFonts w:ascii="宋体" w:eastAsia="宋体" w:hAnsi="宋体" w:cs="Times New Roman"/>
                <w:sz w:val="24"/>
                <w:szCs w:val="24"/>
              </w:rPr>
              <w:t>项目共建服务。</w:t>
            </w:r>
          </w:p>
          <w:p w14:paraId="305381A8" w14:textId="390D8E6A" w:rsidR="0017320C" w:rsidRDefault="0008462D" w:rsidP="003A37E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从医院的长期发展来看，要提升诊断和手术水平，必须配置病理科，同时依据国家政策要求，二级医院升三级，也需要配置病理科。我们非常看好这一业务的发展前景。</w:t>
            </w:r>
          </w:p>
          <w:p w14:paraId="6E574354" w14:textId="7F8FBE9B" w:rsidR="0017320C" w:rsidRPr="003A37E2" w:rsidRDefault="0017320C" w:rsidP="003A37E2">
            <w:pPr>
              <w:pStyle w:val="ac"/>
              <w:numPr>
                <w:ilvl w:val="0"/>
                <w:numId w:val="16"/>
              </w:numPr>
              <w:spacing w:before="240" w:line="360" w:lineRule="auto"/>
              <w:ind w:firstLineChars="0"/>
              <w:rPr>
                <w:rFonts w:ascii="宋体" w:eastAsia="宋体" w:hAnsi="宋体" w:cs="Times New Roman"/>
                <w:b/>
                <w:bCs/>
                <w:sz w:val="24"/>
                <w:szCs w:val="24"/>
              </w:rPr>
            </w:pPr>
            <w:r w:rsidRPr="003A37E2">
              <w:rPr>
                <w:rFonts w:ascii="宋体" w:eastAsia="宋体" w:hAnsi="宋体" w:cs="Times New Roman" w:hint="eastAsia"/>
                <w:b/>
                <w:bCs/>
                <w:sz w:val="24"/>
                <w:szCs w:val="24"/>
              </w:rPr>
              <w:t>能否介绍下伴随诊断的业务模式</w:t>
            </w:r>
            <w:r w:rsidR="00953F1C" w:rsidRPr="003A37E2">
              <w:rPr>
                <w:rFonts w:ascii="宋体" w:eastAsia="宋体" w:hAnsi="宋体" w:cs="Times New Roman" w:hint="eastAsia"/>
                <w:b/>
                <w:bCs/>
                <w:sz w:val="24"/>
                <w:szCs w:val="24"/>
              </w:rPr>
              <w:t>以及发展前景</w:t>
            </w:r>
            <w:r w:rsidRPr="003A37E2">
              <w:rPr>
                <w:rFonts w:ascii="宋体" w:eastAsia="宋体" w:hAnsi="宋体" w:cs="Times New Roman" w:hint="eastAsia"/>
                <w:b/>
                <w:bCs/>
                <w:sz w:val="24"/>
                <w:szCs w:val="24"/>
              </w:rPr>
              <w:t>？</w:t>
            </w:r>
          </w:p>
          <w:p w14:paraId="033D0B31" w14:textId="75F231DC" w:rsidR="00302D8F" w:rsidRPr="003A37E2" w:rsidRDefault="0017320C" w:rsidP="003A37E2">
            <w:pPr>
              <w:spacing w:line="360" w:lineRule="auto"/>
              <w:ind w:firstLineChars="200" w:firstLine="480"/>
              <w:rPr>
                <w:rFonts w:ascii="宋体" w:eastAsia="宋体" w:hAnsi="宋体" w:cs="Times New Roman"/>
                <w:sz w:val="24"/>
                <w:szCs w:val="24"/>
              </w:rPr>
            </w:pPr>
            <w:r w:rsidRPr="00CE50D7">
              <w:rPr>
                <w:rFonts w:ascii="宋体" w:eastAsia="宋体" w:hAnsi="宋体" w:cs="Times New Roman" w:hint="eastAsia"/>
                <w:sz w:val="24"/>
                <w:szCs w:val="24"/>
              </w:rPr>
              <w:t>答：</w:t>
            </w:r>
            <w:r w:rsidR="00BB7E6F">
              <w:rPr>
                <w:rFonts w:ascii="宋体" w:eastAsia="宋体" w:hAnsi="宋体" w:cs="Times New Roman" w:hint="eastAsia"/>
                <w:sz w:val="24"/>
                <w:szCs w:val="24"/>
              </w:rPr>
              <w:t>伴随诊断业务与肿瘤用药和新靶点的发现息息相关，随着肿瘤新型药物不断推进，我们认为大分子药的伴随诊断市场将迎来快速发展。</w:t>
            </w:r>
            <w:r w:rsidR="00CE50D7" w:rsidRPr="00CE50D7">
              <w:rPr>
                <w:rFonts w:ascii="宋体" w:eastAsia="宋体" w:hAnsi="宋体" w:cs="Times New Roman" w:hint="eastAsia"/>
                <w:sz w:val="24"/>
                <w:szCs w:val="24"/>
              </w:rPr>
              <w:t>公司布局的伴随诊断业务主要是基于免疫组化（</w:t>
            </w:r>
            <w:r w:rsidR="00CE50D7" w:rsidRPr="00CE50D7">
              <w:rPr>
                <w:rFonts w:ascii="宋体" w:eastAsia="宋体" w:hAnsi="宋体" w:cs="Times New Roman"/>
                <w:sz w:val="24"/>
                <w:szCs w:val="24"/>
              </w:rPr>
              <w:t>IHC）和荧光原</w:t>
            </w:r>
            <w:r w:rsidR="00CE50D7" w:rsidRPr="00CE50D7">
              <w:rPr>
                <w:rFonts w:ascii="宋体" w:eastAsia="宋体" w:hAnsi="宋体" w:cs="Times New Roman" w:hint="eastAsia"/>
                <w:sz w:val="24"/>
                <w:szCs w:val="24"/>
              </w:rPr>
              <w:t>位杂交（</w:t>
            </w:r>
            <w:r w:rsidR="00CE50D7" w:rsidRPr="00CE50D7">
              <w:rPr>
                <w:rFonts w:ascii="宋体" w:eastAsia="宋体" w:hAnsi="宋体" w:cs="Times New Roman"/>
                <w:sz w:val="24"/>
                <w:szCs w:val="24"/>
              </w:rPr>
              <w:t>FISH）两个技术平台的形态学伴随诊断，一方面公司这两个技</w:t>
            </w:r>
            <w:r w:rsidR="00CE50D7" w:rsidRPr="00CE50D7">
              <w:rPr>
                <w:rFonts w:ascii="宋体" w:eastAsia="宋体" w:hAnsi="宋体" w:cs="Times New Roman" w:hint="eastAsia"/>
                <w:sz w:val="24"/>
                <w:szCs w:val="24"/>
              </w:rPr>
              <w:t>术平台布局多年，拥有技术积淀，另一方面无论是免疫组化还是</w:t>
            </w:r>
            <w:r w:rsidR="00CE50D7" w:rsidRPr="00CE50D7">
              <w:rPr>
                <w:rFonts w:ascii="宋体" w:eastAsia="宋体" w:hAnsi="宋体" w:cs="Times New Roman"/>
                <w:sz w:val="24"/>
                <w:szCs w:val="24"/>
              </w:rPr>
              <w:t xml:space="preserve"> FISH，</w:t>
            </w:r>
            <w:r w:rsidR="00CE50D7" w:rsidRPr="00CE50D7">
              <w:rPr>
                <w:rFonts w:ascii="宋体" w:eastAsia="宋体" w:hAnsi="宋体" w:cs="Times New Roman" w:hint="eastAsia"/>
                <w:sz w:val="24"/>
                <w:szCs w:val="24"/>
              </w:rPr>
              <w:t>均需要依赖医生的判读，这也是公司多年深耕病理科积累的资源优势。</w:t>
            </w:r>
            <w:r w:rsidR="00CE50D7">
              <w:rPr>
                <w:rFonts w:ascii="宋体" w:eastAsia="宋体" w:hAnsi="宋体" w:cs="Times New Roman" w:hint="eastAsia"/>
                <w:sz w:val="24"/>
                <w:szCs w:val="24"/>
              </w:rPr>
              <w:t>公司</w:t>
            </w:r>
            <w:r w:rsidR="00CE50D7" w:rsidRPr="00CE50D7">
              <w:rPr>
                <w:rFonts w:ascii="宋体" w:eastAsia="宋体" w:hAnsi="宋体" w:cs="Times New Roman" w:hint="eastAsia"/>
                <w:sz w:val="24"/>
                <w:szCs w:val="24"/>
              </w:rPr>
              <w:t>专门成立了药企服务和伴随诊断事业群，已经跟多家药企在推进伴随诊断</w:t>
            </w:r>
            <w:r w:rsidR="00CE50D7" w:rsidRPr="00CE50D7">
              <w:rPr>
                <w:rFonts w:ascii="宋体" w:eastAsia="宋体" w:hAnsi="宋体" w:cs="Times New Roman" w:hint="eastAsia"/>
                <w:sz w:val="24"/>
                <w:szCs w:val="24"/>
              </w:rPr>
              <w:lastRenderedPageBreak/>
              <w:t>业务的共同开发和合作。</w:t>
            </w:r>
          </w:p>
        </w:tc>
      </w:tr>
    </w:tbl>
    <w:p w14:paraId="3BE8B926" w14:textId="77777777" w:rsidR="001868B0" w:rsidRDefault="001868B0">
      <w:pPr>
        <w:rPr>
          <w:rFonts w:ascii="宋体" w:eastAsia="宋体" w:hAnsi="宋体"/>
        </w:rPr>
      </w:pP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B487" w14:textId="77777777" w:rsidR="00707E64" w:rsidRDefault="00707E64" w:rsidP="001212BB">
      <w:r>
        <w:separator/>
      </w:r>
    </w:p>
  </w:endnote>
  <w:endnote w:type="continuationSeparator" w:id="0">
    <w:p w14:paraId="00B27021" w14:textId="77777777" w:rsidR="00707E64" w:rsidRDefault="00707E64"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23EF1" w14:textId="77777777" w:rsidR="00707E64" w:rsidRDefault="00707E64" w:rsidP="001212BB">
      <w:r>
        <w:separator/>
      </w:r>
    </w:p>
  </w:footnote>
  <w:footnote w:type="continuationSeparator" w:id="0">
    <w:p w14:paraId="4D3BF06C" w14:textId="77777777" w:rsidR="00707E64" w:rsidRDefault="00707E64" w:rsidP="0012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90"/>
    <w:multiLevelType w:val="hybridMultilevel"/>
    <w:tmpl w:val="076C3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3D22E4"/>
    <w:multiLevelType w:val="hybridMultilevel"/>
    <w:tmpl w:val="85FCB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40B1231"/>
    <w:multiLevelType w:val="hybridMultilevel"/>
    <w:tmpl w:val="0FFE06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D2B354E"/>
    <w:multiLevelType w:val="hybridMultilevel"/>
    <w:tmpl w:val="11646C84"/>
    <w:lvl w:ilvl="0" w:tplc="76062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2758034">
    <w:abstractNumId w:val="4"/>
  </w:num>
  <w:num w:numId="2" w16cid:durableId="505631050">
    <w:abstractNumId w:val="6"/>
  </w:num>
  <w:num w:numId="3" w16cid:durableId="1249388545">
    <w:abstractNumId w:val="7"/>
  </w:num>
  <w:num w:numId="4" w16cid:durableId="2002003941">
    <w:abstractNumId w:val="5"/>
  </w:num>
  <w:num w:numId="5" w16cid:durableId="1407266043">
    <w:abstractNumId w:val="16"/>
  </w:num>
  <w:num w:numId="6" w16cid:durableId="2132939276">
    <w:abstractNumId w:val="2"/>
  </w:num>
  <w:num w:numId="7" w16cid:durableId="1869483816">
    <w:abstractNumId w:val="8"/>
  </w:num>
  <w:num w:numId="8" w16cid:durableId="1926110085">
    <w:abstractNumId w:val="12"/>
  </w:num>
  <w:num w:numId="9" w16cid:durableId="947272795">
    <w:abstractNumId w:val="1"/>
  </w:num>
  <w:num w:numId="10" w16cid:durableId="1830511372">
    <w:abstractNumId w:val="17"/>
  </w:num>
  <w:num w:numId="11" w16cid:durableId="602033392">
    <w:abstractNumId w:val="14"/>
  </w:num>
  <w:num w:numId="12" w16cid:durableId="827524768">
    <w:abstractNumId w:val="11"/>
  </w:num>
  <w:num w:numId="13" w16cid:durableId="1048457355">
    <w:abstractNumId w:val="10"/>
  </w:num>
  <w:num w:numId="14" w16cid:durableId="1473787739">
    <w:abstractNumId w:val="9"/>
  </w:num>
  <w:num w:numId="15" w16cid:durableId="1144397205">
    <w:abstractNumId w:val="13"/>
  </w:num>
  <w:num w:numId="16" w16cid:durableId="1396944">
    <w:abstractNumId w:val="15"/>
  </w:num>
  <w:num w:numId="17" w16cid:durableId="1695112375">
    <w:abstractNumId w:val="18"/>
  </w:num>
  <w:num w:numId="18" w16cid:durableId="1418356899">
    <w:abstractNumId w:val="0"/>
  </w:num>
  <w:num w:numId="19" w16cid:durableId="54356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2418"/>
    <w:rsid w:val="00002A43"/>
    <w:rsid w:val="00003652"/>
    <w:rsid w:val="00004CDD"/>
    <w:rsid w:val="0000549F"/>
    <w:rsid w:val="00005993"/>
    <w:rsid w:val="000062D1"/>
    <w:rsid w:val="00007266"/>
    <w:rsid w:val="00014129"/>
    <w:rsid w:val="00015916"/>
    <w:rsid w:val="00022900"/>
    <w:rsid w:val="000318EC"/>
    <w:rsid w:val="000320B1"/>
    <w:rsid w:val="00034377"/>
    <w:rsid w:val="00040EA8"/>
    <w:rsid w:val="00043653"/>
    <w:rsid w:val="00044BFE"/>
    <w:rsid w:val="000576D0"/>
    <w:rsid w:val="000576EA"/>
    <w:rsid w:val="00062387"/>
    <w:rsid w:val="00066198"/>
    <w:rsid w:val="000756AF"/>
    <w:rsid w:val="00083B07"/>
    <w:rsid w:val="00083D9A"/>
    <w:rsid w:val="0008462D"/>
    <w:rsid w:val="00091294"/>
    <w:rsid w:val="000917CA"/>
    <w:rsid w:val="00091E2C"/>
    <w:rsid w:val="00094C29"/>
    <w:rsid w:val="00095201"/>
    <w:rsid w:val="0009730D"/>
    <w:rsid w:val="000A1FAA"/>
    <w:rsid w:val="000A2E15"/>
    <w:rsid w:val="000A39A5"/>
    <w:rsid w:val="000A41BB"/>
    <w:rsid w:val="000A6821"/>
    <w:rsid w:val="000A70D7"/>
    <w:rsid w:val="000B01D7"/>
    <w:rsid w:val="000C0C08"/>
    <w:rsid w:val="000C7EED"/>
    <w:rsid w:val="000D35B8"/>
    <w:rsid w:val="000D3A54"/>
    <w:rsid w:val="000D5060"/>
    <w:rsid w:val="000D5B26"/>
    <w:rsid w:val="000D6D40"/>
    <w:rsid w:val="000E28E9"/>
    <w:rsid w:val="000E3825"/>
    <w:rsid w:val="000E637C"/>
    <w:rsid w:val="000E7BCD"/>
    <w:rsid w:val="000F1263"/>
    <w:rsid w:val="000F282A"/>
    <w:rsid w:val="000F2CF9"/>
    <w:rsid w:val="000F4257"/>
    <w:rsid w:val="000F67BE"/>
    <w:rsid w:val="001029BB"/>
    <w:rsid w:val="00104049"/>
    <w:rsid w:val="0010589B"/>
    <w:rsid w:val="001067EF"/>
    <w:rsid w:val="0010745A"/>
    <w:rsid w:val="00107691"/>
    <w:rsid w:val="001113A3"/>
    <w:rsid w:val="001119C3"/>
    <w:rsid w:val="001139F8"/>
    <w:rsid w:val="001212BB"/>
    <w:rsid w:val="00125AA5"/>
    <w:rsid w:val="00126728"/>
    <w:rsid w:val="00131528"/>
    <w:rsid w:val="0013184A"/>
    <w:rsid w:val="001349CB"/>
    <w:rsid w:val="001402B6"/>
    <w:rsid w:val="001434C7"/>
    <w:rsid w:val="00144C62"/>
    <w:rsid w:val="00145386"/>
    <w:rsid w:val="001455E9"/>
    <w:rsid w:val="00146684"/>
    <w:rsid w:val="00147B92"/>
    <w:rsid w:val="00150A86"/>
    <w:rsid w:val="001511C8"/>
    <w:rsid w:val="001511FC"/>
    <w:rsid w:val="00155B47"/>
    <w:rsid w:val="0015691A"/>
    <w:rsid w:val="00157301"/>
    <w:rsid w:val="001636A5"/>
    <w:rsid w:val="00163AA8"/>
    <w:rsid w:val="001649FA"/>
    <w:rsid w:val="0017163A"/>
    <w:rsid w:val="0017320C"/>
    <w:rsid w:val="00174B4A"/>
    <w:rsid w:val="00184FED"/>
    <w:rsid w:val="001868B0"/>
    <w:rsid w:val="00186DA0"/>
    <w:rsid w:val="001927CF"/>
    <w:rsid w:val="00194A5A"/>
    <w:rsid w:val="00197FAD"/>
    <w:rsid w:val="001A2D87"/>
    <w:rsid w:val="001A5D03"/>
    <w:rsid w:val="001A6399"/>
    <w:rsid w:val="001A6F38"/>
    <w:rsid w:val="001A7427"/>
    <w:rsid w:val="001B0C81"/>
    <w:rsid w:val="001B3775"/>
    <w:rsid w:val="001B4D6A"/>
    <w:rsid w:val="001B59F2"/>
    <w:rsid w:val="001C0249"/>
    <w:rsid w:val="001C0BF7"/>
    <w:rsid w:val="001C163E"/>
    <w:rsid w:val="001C185E"/>
    <w:rsid w:val="001C1A57"/>
    <w:rsid w:val="001C281A"/>
    <w:rsid w:val="001C298F"/>
    <w:rsid w:val="001C4CCF"/>
    <w:rsid w:val="001C562C"/>
    <w:rsid w:val="001C7B58"/>
    <w:rsid w:val="001D0303"/>
    <w:rsid w:val="001D1969"/>
    <w:rsid w:val="001D457F"/>
    <w:rsid w:val="001D7D59"/>
    <w:rsid w:val="001E291D"/>
    <w:rsid w:val="001E38B8"/>
    <w:rsid w:val="001F0D1D"/>
    <w:rsid w:val="001F323D"/>
    <w:rsid w:val="001F7354"/>
    <w:rsid w:val="001F754E"/>
    <w:rsid w:val="00200428"/>
    <w:rsid w:val="00204875"/>
    <w:rsid w:val="002050CF"/>
    <w:rsid w:val="00207430"/>
    <w:rsid w:val="0021164F"/>
    <w:rsid w:val="002163B2"/>
    <w:rsid w:val="002211C0"/>
    <w:rsid w:val="002212EE"/>
    <w:rsid w:val="00226C56"/>
    <w:rsid w:val="00231F7E"/>
    <w:rsid w:val="00231FAB"/>
    <w:rsid w:val="00237235"/>
    <w:rsid w:val="00240AA9"/>
    <w:rsid w:val="00244A51"/>
    <w:rsid w:val="002505B7"/>
    <w:rsid w:val="002507BF"/>
    <w:rsid w:val="00250E56"/>
    <w:rsid w:val="002542EE"/>
    <w:rsid w:val="00254C57"/>
    <w:rsid w:val="00261E3E"/>
    <w:rsid w:val="002647BF"/>
    <w:rsid w:val="00264894"/>
    <w:rsid w:val="00267A7A"/>
    <w:rsid w:val="00274B80"/>
    <w:rsid w:val="002765EE"/>
    <w:rsid w:val="0027766A"/>
    <w:rsid w:val="00280BC6"/>
    <w:rsid w:val="00282BA9"/>
    <w:rsid w:val="002837DF"/>
    <w:rsid w:val="002854FF"/>
    <w:rsid w:val="00291556"/>
    <w:rsid w:val="002947C6"/>
    <w:rsid w:val="00294981"/>
    <w:rsid w:val="00294D63"/>
    <w:rsid w:val="0029693C"/>
    <w:rsid w:val="00297C3E"/>
    <w:rsid w:val="002A1D0E"/>
    <w:rsid w:val="002A4A8E"/>
    <w:rsid w:val="002B32DC"/>
    <w:rsid w:val="002B537E"/>
    <w:rsid w:val="002B6DA2"/>
    <w:rsid w:val="002C14A1"/>
    <w:rsid w:val="002C1873"/>
    <w:rsid w:val="002C60CC"/>
    <w:rsid w:val="002C6610"/>
    <w:rsid w:val="002C75BE"/>
    <w:rsid w:val="002D336D"/>
    <w:rsid w:val="002D4E8F"/>
    <w:rsid w:val="002D5351"/>
    <w:rsid w:val="002E1936"/>
    <w:rsid w:val="002E365B"/>
    <w:rsid w:val="002E7552"/>
    <w:rsid w:val="002F0892"/>
    <w:rsid w:val="002F2223"/>
    <w:rsid w:val="002F23B0"/>
    <w:rsid w:val="002F5751"/>
    <w:rsid w:val="00300554"/>
    <w:rsid w:val="00302D8F"/>
    <w:rsid w:val="00305CCF"/>
    <w:rsid w:val="0030768A"/>
    <w:rsid w:val="00313BCA"/>
    <w:rsid w:val="00316316"/>
    <w:rsid w:val="003166F7"/>
    <w:rsid w:val="00324141"/>
    <w:rsid w:val="00324FBE"/>
    <w:rsid w:val="003257A4"/>
    <w:rsid w:val="00334343"/>
    <w:rsid w:val="00334ED2"/>
    <w:rsid w:val="00341327"/>
    <w:rsid w:val="00341590"/>
    <w:rsid w:val="00344023"/>
    <w:rsid w:val="00345EC8"/>
    <w:rsid w:val="0035018B"/>
    <w:rsid w:val="00354087"/>
    <w:rsid w:val="00354C1D"/>
    <w:rsid w:val="00354D8A"/>
    <w:rsid w:val="00355270"/>
    <w:rsid w:val="00355AFD"/>
    <w:rsid w:val="0035605B"/>
    <w:rsid w:val="00357401"/>
    <w:rsid w:val="00357810"/>
    <w:rsid w:val="00357F42"/>
    <w:rsid w:val="003673D2"/>
    <w:rsid w:val="003767D7"/>
    <w:rsid w:val="00377F3E"/>
    <w:rsid w:val="00381B4A"/>
    <w:rsid w:val="00382913"/>
    <w:rsid w:val="0038420F"/>
    <w:rsid w:val="003874F3"/>
    <w:rsid w:val="00391392"/>
    <w:rsid w:val="003920C7"/>
    <w:rsid w:val="003934CB"/>
    <w:rsid w:val="0039622F"/>
    <w:rsid w:val="00396B54"/>
    <w:rsid w:val="00396C14"/>
    <w:rsid w:val="003A0763"/>
    <w:rsid w:val="003A37E2"/>
    <w:rsid w:val="003A4089"/>
    <w:rsid w:val="003B03B1"/>
    <w:rsid w:val="003B075D"/>
    <w:rsid w:val="003B58D8"/>
    <w:rsid w:val="003B726F"/>
    <w:rsid w:val="003C1505"/>
    <w:rsid w:val="003C276F"/>
    <w:rsid w:val="003C7394"/>
    <w:rsid w:val="003C761B"/>
    <w:rsid w:val="003D4928"/>
    <w:rsid w:val="003D7B11"/>
    <w:rsid w:val="003E0EA8"/>
    <w:rsid w:val="003E3F3E"/>
    <w:rsid w:val="003F0450"/>
    <w:rsid w:val="003F0E05"/>
    <w:rsid w:val="003F1B06"/>
    <w:rsid w:val="003F3599"/>
    <w:rsid w:val="003F4062"/>
    <w:rsid w:val="003F7374"/>
    <w:rsid w:val="00406F26"/>
    <w:rsid w:val="00412B75"/>
    <w:rsid w:val="00412F22"/>
    <w:rsid w:val="00415C07"/>
    <w:rsid w:val="00417F38"/>
    <w:rsid w:val="00421710"/>
    <w:rsid w:val="004224BA"/>
    <w:rsid w:val="00423CF6"/>
    <w:rsid w:val="0042751F"/>
    <w:rsid w:val="00427925"/>
    <w:rsid w:val="00430A9D"/>
    <w:rsid w:val="00434625"/>
    <w:rsid w:val="00441E48"/>
    <w:rsid w:val="00443C0F"/>
    <w:rsid w:val="004475E6"/>
    <w:rsid w:val="00456A4F"/>
    <w:rsid w:val="00461E2F"/>
    <w:rsid w:val="00465891"/>
    <w:rsid w:val="0046618E"/>
    <w:rsid w:val="004679BD"/>
    <w:rsid w:val="00474D41"/>
    <w:rsid w:val="004803A5"/>
    <w:rsid w:val="00483E7E"/>
    <w:rsid w:val="00484213"/>
    <w:rsid w:val="004842FD"/>
    <w:rsid w:val="004844DB"/>
    <w:rsid w:val="004845EF"/>
    <w:rsid w:val="004960E3"/>
    <w:rsid w:val="00497BB9"/>
    <w:rsid w:val="004A3466"/>
    <w:rsid w:val="004A5AC2"/>
    <w:rsid w:val="004B28F2"/>
    <w:rsid w:val="004B387F"/>
    <w:rsid w:val="004B5199"/>
    <w:rsid w:val="004B67E5"/>
    <w:rsid w:val="004C0292"/>
    <w:rsid w:val="004C15EF"/>
    <w:rsid w:val="004C28C3"/>
    <w:rsid w:val="004C4CBB"/>
    <w:rsid w:val="004D254D"/>
    <w:rsid w:val="004D3E22"/>
    <w:rsid w:val="004D7F86"/>
    <w:rsid w:val="004E1254"/>
    <w:rsid w:val="004E3530"/>
    <w:rsid w:val="004E38CE"/>
    <w:rsid w:val="004E5393"/>
    <w:rsid w:val="004F114C"/>
    <w:rsid w:val="004F2753"/>
    <w:rsid w:val="004F2AB7"/>
    <w:rsid w:val="00502C1D"/>
    <w:rsid w:val="0050487B"/>
    <w:rsid w:val="00516607"/>
    <w:rsid w:val="0051661D"/>
    <w:rsid w:val="00520A16"/>
    <w:rsid w:val="00522E88"/>
    <w:rsid w:val="005248DB"/>
    <w:rsid w:val="00527D0B"/>
    <w:rsid w:val="00533850"/>
    <w:rsid w:val="0053742C"/>
    <w:rsid w:val="0054242B"/>
    <w:rsid w:val="005441D1"/>
    <w:rsid w:val="00544F3A"/>
    <w:rsid w:val="00546044"/>
    <w:rsid w:val="005505A4"/>
    <w:rsid w:val="005524F8"/>
    <w:rsid w:val="0055352D"/>
    <w:rsid w:val="005540E3"/>
    <w:rsid w:val="00560A3B"/>
    <w:rsid w:val="00560AC0"/>
    <w:rsid w:val="0057516F"/>
    <w:rsid w:val="00575AA1"/>
    <w:rsid w:val="00583C6B"/>
    <w:rsid w:val="0058530A"/>
    <w:rsid w:val="0058563D"/>
    <w:rsid w:val="00587644"/>
    <w:rsid w:val="005876E3"/>
    <w:rsid w:val="0059512C"/>
    <w:rsid w:val="00596682"/>
    <w:rsid w:val="005A10C6"/>
    <w:rsid w:val="005A2B0A"/>
    <w:rsid w:val="005A35F2"/>
    <w:rsid w:val="005A48D3"/>
    <w:rsid w:val="005A597F"/>
    <w:rsid w:val="005A6E3B"/>
    <w:rsid w:val="005B261A"/>
    <w:rsid w:val="005B5F87"/>
    <w:rsid w:val="005B7339"/>
    <w:rsid w:val="005B749B"/>
    <w:rsid w:val="005C15F6"/>
    <w:rsid w:val="005C2911"/>
    <w:rsid w:val="005C57C7"/>
    <w:rsid w:val="005C7C97"/>
    <w:rsid w:val="005D0DAE"/>
    <w:rsid w:val="005D12CF"/>
    <w:rsid w:val="005D30D4"/>
    <w:rsid w:val="005D3520"/>
    <w:rsid w:val="005E0F1F"/>
    <w:rsid w:val="005E1296"/>
    <w:rsid w:val="005E201A"/>
    <w:rsid w:val="005E5A96"/>
    <w:rsid w:val="005E5F46"/>
    <w:rsid w:val="005F1692"/>
    <w:rsid w:val="005F3A08"/>
    <w:rsid w:val="005F44A8"/>
    <w:rsid w:val="005F4E51"/>
    <w:rsid w:val="006012B9"/>
    <w:rsid w:val="00603B2C"/>
    <w:rsid w:val="00604FBE"/>
    <w:rsid w:val="0061003F"/>
    <w:rsid w:val="00614A8F"/>
    <w:rsid w:val="00615A29"/>
    <w:rsid w:val="0062233C"/>
    <w:rsid w:val="00630826"/>
    <w:rsid w:val="006400DD"/>
    <w:rsid w:val="00644550"/>
    <w:rsid w:val="006458F7"/>
    <w:rsid w:val="00653C6F"/>
    <w:rsid w:val="00655EE9"/>
    <w:rsid w:val="00663F97"/>
    <w:rsid w:val="00665ADD"/>
    <w:rsid w:val="00670885"/>
    <w:rsid w:val="006734BF"/>
    <w:rsid w:val="006744F4"/>
    <w:rsid w:val="0067796B"/>
    <w:rsid w:val="00677F0D"/>
    <w:rsid w:val="0068136E"/>
    <w:rsid w:val="006833F0"/>
    <w:rsid w:val="00685149"/>
    <w:rsid w:val="0068640E"/>
    <w:rsid w:val="00686642"/>
    <w:rsid w:val="006909D9"/>
    <w:rsid w:val="00690DAD"/>
    <w:rsid w:val="006924FB"/>
    <w:rsid w:val="00692773"/>
    <w:rsid w:val="00697658"/>
    <w:rsid w:val="006A01BF"/>
    <w:rsid w:val="006A0909"/>
    <w:rsid w:val="006A1202"/>
    <w:rsid w:val="006A45ED"/>
    <w:rsid w:val="006A6BA2"/>
    <w:rsid w:val="006B220B"/>
    <w:rsid w:val="006B3B10"/>
    <w:rsid w:val="006B3CD3"/>
    <w:rsid w:val="006B6AED"/>
    <w:rsid w:val="006B6FDC"/>
    <w:rsid w:val="006C031B"/>
    <w:rsid w:val="006C0F42"/>
    <w:rsid w:val="006C3890"/>
    <w:rsid w:val="006C41D3"/>
    <w:rsid w:val="006D2AA5"/>
    <w:rsid w:val="006D76CE"/>
    <w:rsid w:val="006E071A"/>
    <w:rsid w:val="006E0A0A"/>
    <w:rsid w:val="006E3811"/>
    <w:rsid w:val="006E7B3B"/>
    <w:rsid w:val="006F6C38"/>
    <w:rsid w:val="00702703"/>
    <w:rsid w:val="00702D2F"/>
    <w:rsid w:val="00702F63"/>
    <w:rsid w:val="00704DBB"/>
    <w:rsid w:val="00707E64"/>
    <w:rsid w:val="0071205F"/>
    <w:rsid w:val="007134D4"/>
    <w:rsid w:val="00716001"/>
    <w:rsid w:val="007174D5"/>
    <w:rsid w:val="00722974"/>
    <w:rsid w:val="007232FE"/>
    <w:rsid w:val="007265C8"/>
    <w:rsid w:val="00726C0B"/>
    <w:rsid w:val="007303B2"/>
    <w:rsid w:val="007373E1"/>
    <w:rsid w:val="00737EDE"/>
    <w:rsid w:val="00740086"/>
    <w:rsid w:val="00741CE0"/>
    <w:rsid w:val="00750348"/>
    <w:rsid w:val="00755749"/>
    <w:rsid w:val="007578C8"/>
    <w:rsid w:val="00760BDF"/>
    <w:rsid w:val="007613B3"/>
    <w:rsid w:val="00761B9D"/>
    <w:rsid w:val="00763D78"/>
    <w:rsid w:val="0077069A"/>
    <w:rsid w:val="007738DF"/>
    <w:rsid w:val="00780DD3"/>
    <w:rsid w:val="00781156"/>
    <w:rsid w:val="007829C0"/>
    <w:rsid w:val="00782D91"/>
    <w:rsid w:val="00784615"/>
    <w:rsid w:val="00785422"/>
    <w:rsid w:val="007938D5"/>
    <w:rsid w:val="0079500C"/>
    <w:rsid w:val="00795B45"/>
    <w:rsid w:val="00796A64"/>
    <w:rsid w:val="007A0218"/>
    <w:rsid w:val="007A3B67"/>
    <w:rsid w:val="007A7F24"/>
    <w:rsid w:val="007B5977"/>
    <w:rsid w:val="007B7394"/>
    <w:rsid w:val="007C14E3"/>
    <w:rsid w:val="007C344C"/>
    <w:rsid w:val="007C3536"/>
    <w:rsid w:val="007C3A50"/>
    <w:rsid w:val="007C517C"/>
    <w:rsid w:val="007C7481"/>
    <w:rsid w:val="007D23A6"/>
    <w:rsid w:val="007D2C73"/>
    <w:rsid w:val="007D5318"/>
    <w:rsid w:val="007D631B"/>
    <w:rsid w:val="007D6ECF"/>
    <w:rsid w:val="007E4AC5"/>
    <w:rsid w:val="007E5AB6"/>
    <w:rsid w:val="007E7231"/>
    <w:rsid w:val="007F25F4"/>
    <w:rsid w:val="007F3FBB"/>
    <w:rsid w:val="00802CDC"/>
    <w:rsid w:val="00804DE7"/>
    <w:rsid w:val="00804EED"/>
    <w:rsid w:val="00806193"/>
    <w:rsid w:val="008064D9"/>
    <w:rsid w:val="008107AA"/>
    <w:rsid w:val="0081178E"/>
    <w:rsid w:val="008123AB"/>
    <w:rsid w:val="008130EF"/>
    <w:rsid w:val="00822025"/>
    <w:rsid w:val="00822D91"/>
    <w:rsid w:val="0083373B"/>
    <w:rsid w:val="00841B9A"/>
    <w:rsid w:val="0084419F"/>
    <w:rsid w:val="00844EFE"/>
    <w:rsid w:val="008529B6"/>
    <w:rsid w:val="00853153"/>
    <w:rsid w:val="00857A3B"/>
    <w:rsid w:val="008730C9"/>
    <w:rsid w:val="008866C1"/>
    <w:rsid w:val="00890D8F"/>
    <w:rsid w:val="00892955"/>
    <w:rsid w:val="00894916"/>
    <w:rsid w:val="008A187C"/>
    <w:rsid w:val="008A1908"/>
    <w:rsid w:val="008A77FF"/>
    <w:rsid w:val="008B154A"/>
    <w:rsid w:val="008B39C6"/>
    <w:rsid w:val="008B3D80"/>
    <w:rsid w:val="008B4A86"/>
    <w:rsid w:val="008C1900"/>
    <w:rsid w:val="008C232E"/>
    <w:rsid w:val="008C2A95"/>
    <w:rsid w:val="008D1905"/>
    <w:rsid w:val="008D46E5"/>
    <w:rsid w:val="008D632B"/>
    <w:rsid w:val="008E5E0A"/>
    <w:rsid w:val="008F2D34"/>
    <w:rsid w:val="008F33D5"/>
    <w:rsid w:val="008F6C61"/>
    <w:rsid w:val="00900D76"/>
    <w:rsid w:val="0090151F"/>
    <w:rsid w:val="009047F0"/>
    <w:rsid w:val="00904EC2"/>
    <w:rsid w:val="009056DF"/>
    <w:rsid w:val="00912466"/>
    <w:rsid w:val="009141EC"/>
    <w:rsid w:val="009160F3"/>
    <w:rsid w:val="00920599"/>
    <w:rsid w:val="00922257"/>
    <w:rsid w:val="00925987"/>
    <w:rsid w:val="00926A00"/>
    <w:rsid w:val="00933E0B"/>
    <w:rsid w:val="009358BA"/>
    <w:rsid w:val="00937399"/>
    <w:rsid w:val="00945AE9"/>
    <w:rsid w:val="00953126"/>
    <w:rsid w:val="00953F1C"/>
    <w:rsid w:val="00956127"/>
    <w:rsid w:val="00957709"/>
    <w:rsid w:val="00962D69"/>
    <w:rsid w:val="009670D1"/>
    <w:rsid w:val="009720A0"/>
    <w:rsid w:val="00973A0D"/>
    <w:rsid w:val="00981FE3"/>
    <w:rsid w:val="009844B5"/>
    <w:rsid w:val="00984C22"/>
    <w:rsid w:val="00984F49"/>
    <w:rsid w:val="00986F9F"/>
    <w:rsid w:val="00990322"/>
    <w:rsid w:val="00992597"/>
    <w:rsid w:val="009932CB"/>
    <w:rsid w:val="00993463"/>
    <w:rsid w:val="009A3CD7"/>
    <w:rsid w:val="009A67E4"/>
    <w:rsid w:val="009B0E19"/>
    <w:rsid w:val="009B269B"/>
    <w:rsid w:val="009B3F8F"/>
    <w:rsid w:val="009B5CB0"/>
    <w:rsid w:val="009B6C5C"/>
    <w:rsid w:val="009B7AE0"/>
    <w:rsid w:val="009C1151"/>
    <w:rsid w:val="009C3591"/>
    <w:rsid w:val="009C53BB"/>
    <w:rsid w:val="009D1168"/>
    <w:rsid w:val="009D3788"/>
    <w:rsid w:val="009D4B91"/>
    <w:rsid w:val="009F005B"/>
    <w:rsid w:val="009F0979"/>
    <w:rsid w:val="009F0A5C"/>
    <w:rsid w:val="009F25EC"/>
    <w:rsid w:val="009F2ADE"/>
    <w:rsid w:val="009F799B"/>
    <w:rsid w:val="00A002BF"/>
    <w:rsid w:val="00A0058A"/>
    <w:rsid w:val="00A008A9"/>
    <w:rsid w:val="00A0190E"/>
    <w:rsid w:val="00A03BD5"/>
    <w:rsid w:val="00A04C5E"/>
    <w:rsid w:val="00A118B5"/>
    <w:rsid w:val="00A12D00"/>
    <w:rsid w:val="00A15A69"/>
    <w:rsid w:val="00A1754E"/>
    <w:rsid w:val="00A20417"/>
    <w:rsid w:val="00A26918"/>
    <w:rsid w:val="00A341F0"/>
    <w:rsid w:val="00A3587F"/>
    <w:rsid w:val="00A4325E"/>
    <w:rsid w:val="00A43F5F"/>
    <w:rsid w:val="00A4651D"/>
    <w:rsid w:val="00A467BF"/>
    <w:rsid w:val="00A53069"/>
    <w:rsid w:val="00A55EF2"/>
    <w:rsid w:val="00A579D6"/>
    <w:rsid w:val="00A600B5"/>
    <w:rsid w:val="00A60F15"/>
    <w:rsid w:val="00A62EBC"/>
    <w:rsid w:val="00A64132"/>
    <w:rsid w:val="00A654A8"/>
    <w:rsid w:val="00A70E1C"/>
    <w:rsid w:val="00A71D37"/>
    <w:rsid w:val="00A73433"/>
    <w:rsid w:val="00A7629B"/>
    <w:rsid w:val="00A77474"/>
    <w:rsid w:val="00A813F3"/>
    <w:rsid w:val="00A81D9E"/>
    <w:rsid w:val="00A83DAA"/>
    <w:rsid w:val="00A86B43"/>
    <w:rsid w:val="00A908C9"/>
    <w:rsid w:val="00A9319F"/>
    <w:rsid w:val="00A93D4D"/>
    <w:rsid w:val="00A95B09"/>
    <w:rsid w:val="00A97308"/>
    <w:rsid w:val="00A97621"/>
    <w:rsid w:val="00AA047C"/>
    <w:rsid w:val="00AA2D87"/>
    <w:rsid w:val="00AA6DB3"/>
    <w:rsid w:val="00AA7ECA"/>
    <w:rsid w:val="00AB2E34"/>
    <w:rsid w:val="00AB5A10"/>
    <w:rsid w:val="00AB7640"/>
    <w:rsid w:val="00AD3638"/>
    <w:rsid w:val="00AD6F8F"/>
    <w:rsid w:val="00AE59D6"/>
    <w:rsid w:val="00AE7F9F"/>
    <w:rsid w:val="00AF040C"/>
    <w:rsid w:val="00AF2DB8"/>
    <w:rsid w:val="00B03C6A"/>
    <w:rsid w:val="00B03FE5"/>
    <w:rsid w:val="00B0419D"/>
    <w:rsid w:val="00B046B6"/>
    <w:rsid w:val="00B04ADE"/>
    <w:rsid w:val="00B04E0F"/>
    <w:rsid w:val="00B11650"/>
    <w:rsid w:val="00B13043"/>
    <w:rsid w:val="00B13FCB"/>
    <w:rsid w:val="00B21055"/>
    <w:rsid w:val="00B232C7"/>
    <w:rsid w:val="00B241C8"/>
    <w:rsid w:val="00B24A38"/>
    <w:rsid w:val="00B333AE"/>
    <w:rsid w:val="00B3402A"/>
    <w:rsid w:val="00B35418"/>
    <w:rsid w:val="00B4273A"/>
    <w:rsid w:val="00B43203"/>
    <w:rsid w:val="00B447E6"/>
    <w:rsid w:val="00B4681A"/>
    <w:rsid w:val="00B47D7B"/>
    <w:rsid w:val="00B519B8"/>
    <w:rsid w:val="00B51D48"/>
    <w:rsid w:val="00B559C5"/>
    <w:rsid w:val="00B61AC5"/>
    <w:rsid w:val="00B64B40"/>
    <w:rsid w:val="00B660D2"/>
    <w:rsid w:val="00B70DC3"/>
    <w:rsid w:val="00B710E4"/>
    <w:rsid w:val="00B72B6A"/>
    <w:rsid w:val="00B83FD6"/>
    <w:rsid w:val="00B84BF1"/>
    <w:rsid w:val="00B85CFA"/>
    <w:rsid w:val="00B869E1"/>
    <w:rsid w:val="00B9106D"/>
    <w:rsid w:val="00B9308A"/>
    <w:rsid w:val="00B93419"/>
    <w:rsid w:val="00B951F9"/>
    <w:rsid w:val="00B95423"/>
    <w:rsid w:val="00B97136"/>
    <w:rsid w:val="00BA005E"/>
    <w:rsid w:val="00BA2ECA"/>
    <w:rsid w:val="00BA353E"/>
    <w:rsid w:val="00BA3B7A"/>
    <w:rsid w:val="00BA6735"/>
    <w:rsid w:val="00BA6A7E"/>
    <w:rsid w:val="00BA7A9B"/>
    <w:rsid w:val="00BB240E"/>
    <w:rsid w:val="00BB53EF"/>
    <w:rsid w:val="00BB695B"/>
    <w:rsid w:val="00BB7E6F"/>
    <w:rsid w:val="00BC5C37"/>
    <w:rsid w:val="00BC7465"/>
    <w:rsid w:val="00BD5413"/>
    <w:rsid w:val="00BE0E06"/>
    <w:rsid w:val="00BE2F5E"/>
    <w:rsid w:val="00BF0099"/>
    <w:rsid w:val="00BF00B6"/>
    <w:rsid w:val="00BF1994"/>
    <w:rsid w:val="00BF2DD9"/>
    <w:rsid w:val="00BF3549"/>
    <w:rsid w:val="00C00FC4"/>
    <w:rsid w:val="00C0299A"/>
    <w:rsid w:val="00C02E82"/>
    <w:rsid w:val="00C05BBC"/>
    <w:rsid w:val="00C07F3F"/>
    <w:rsid w:val="00C11A1B"/>
    <w:rsid w:val="00C12B9A"/>
    <w:rsid w:val="00C160EA"/>
    <w:rsid w:val="00C20280"/>
    <w:rsid w:val="00C24449"/>
    <w:rsid w:val="00C30567"/>
    <w:rsid w:val="00C32766"/>
    <w:rsid w:val="00C337F0"/>
    <w:rsid w:val="00C33F44"/>
    <w:rsid w:val="00C35880"/>
    <w:rsid w:val="00C431FC"/>
    <w:rsid w:val="00C44E09"/>
    <w:rsid w:val="00C47813"/>
    <w:rsid w:val="00C54129"/>
    <w:rsid w:val="00C553A4"/>
    <w:rsid w:val="00C57893"/>
    <w:rsid w:val="00C579E4"/>
    <w:rsid w:val="00C6203A"/>
    <w:rsid w:val="00C62190"/>
    <w:rsid w:val="00C623E4"/>
    <w:rsid w:val="00C63849"/>
    <w:rsid w:val="00C7246A"/>
    <w:rsid w:val="00C733D4"/>
    <w:rsid w:val="00C8150B"/>
    <w:rsid w:val="00C82413"/>
    <w:rsid w:val="00C91C08"/>
    <w:rsid w:val="00C9367D"/>
    <w:rsid w:val="00C93A10"/>
    <w:rsid w:val="00C93E5F"/>
    <w:rsid w:val="00C9771F"/>
    <w:rsid w:val="00CA1657"/>
    <w:rsid w:val="00CA58B4"/>
    <w:rsid w:val="00CB4E46"/>
    <w:rsid w:val="00CB74CF"/>
    <w:rsid w:val="00CC632C"/>
    <w:rsid w:val="00CC6AAD"/>
    <w:rsid w:val="00CD1060"/>
    <w:rsid w:val="00CD2DA4"/>
    <w:rsid w:val="00CD525B"/>
    <w:rsid w:val="00CD62EF"/>
    <w:rsid w:val="00CE50D7"/>
    <w:rsid w:val="00CE7C74"/>
    <w:rsid w:val="00CF0002"/>
    <w:rsid w:val="00CF04DF"/>
    <w:rsid w:val="00CF0942"/>
    <w:rsid w:val="00CF6CDF"/>
    <w:rsid w:val="00CF73DB"/>
    <w:rsid w:val="00D00E5C"/>
    <w:rsid w:val="00D04025"/>
    <w:rsid w:val="00D05EE2"/>
    <w:rsid w:val="00D07E39"/>
    <w:rsid w:val="00D11303"/>
    <w:rsid w:val="00D12AF5"/>
    <w:rsid w:val="00D12D78"/>
    <w:rsid w:val="00D170D6"/>
    <w:rsid w:val="00D2081D"/>
    <w:rsid w:val="00D24FC3"/>
    <w:rsid w:val="00D25F7B"/>
    <w:rsid w:val="00D268F9"/>
    <w:rsid w:val="00D2754D"/>
    <w:rsid w:val="00D27E53"/>
    <w:rsid w:val="00D30AE3"/>
    <w:rsid w:val="00D35383"/>
    <w:rsid w:val="00D37A66"/>
    <w:rsid w:val="00D417B6"/>
    <w:rsid w:val="00D42BE9"/>
    <w:rsid w:val="00D51D8D"/>
    <w:rsid w:val="00D603FE"/>
    <w:rsid w:val="00D6496F"/>
    <w:rsid w:val="00D64B40"/>
    <w:rsid w:val="00D6580A"/>
    <w:rsid w:val="00D70184"/>
    <w:rsid w:val="00D7203F"/>
    <w:rsid w:val="00D7438F"/>
    <w:rsid w:val="00D75316"/>
    <w:rsid w:val="00D755E5"/>
    <w:rsid w:val="00D75BF4"/>
    <w:rsid w:val="00D77343"/>
    <w:rsid w:val="00D80F34"/>
    <w:rsid w:val="00D82F13"/>
    <w:rsid w:val="00D87543"/>
    <w:rsid w:val="00D96892"/>
    <w:rsid w:val="00D97E2D"/>
    <w:rsid w:val="00DA579D"/>
    <w:rsid w:val="00DA619E"/>
    <w:rsid w:val="00DB0740"/>
    <w:rsid w:val="00DB5FE1"/>
    <w:rsid w:val="00DB6C85"/>
    <w:rsid w:val="00DC26F6"/>
    <w:rsid w:val="00DC6872"/>
    <w:rsid w:val="00DC6CF9"/>
    <w:rsid w:val="00DD280C"/>
    <w:rsid w:val="00DD3BBB"/>
    <w:rsid w:val="00DD73E5"/>
    <w:rsid w:val="00DF11E1"/>
    <w:rsid w:val="00DF16D0"/>
    <w:rsid w:val="00E0212A"/>
    <w:rsid w:val="00E02F39"/>
    <w:rsid w:val="00E107C3"/>
    <w:rsid w:val="00E12792"/>
    <w:rsid w:val="00E15F11"/>
    <w:rsid w:val="00E2759D"/>
    <w:rsid w:val="00E309FD"/>
    <w:rsid w:val="00E31518"/>
    <w:rsid w:val="00E36042"/>
    <w:rsid w:val="00E42B7F"/>
    <w:rsid w:val="00E45C1F"/>
    <w:rsid w:val="00E51238"/>
    <w:rsid w:val="00E51383"/>
    <w:rsid w:val="00E5434E"/>
    <w:rsid w:val="00E603FA"/>
    <w:rsid w:val="00E6404A"/>
    <w:rsid w:val="00E64767"/>
    <w:rsid w:val="00E6499F"/>
    <w:rsid w:val="00E65A6C"/>
    <w:rsid w:val="00E67416"/>
    <w:rsid w:val="00E71BC5"/>
    <w:rsid w:val="00E75D21"/>
    <w:rsid w:val="00E836EB"/>
    <w:rsid w:val="00E84655"/>
    <w:rsid w:val="00E8709A"/>
    <w:rsid w:val="00E87F37"/>
    <w:rsid w:val="00E9099E"/>
    <w:rsid w:val="00E966B0"/>
    <w:rsid w:val="00EA241D"/>
    <w:rsid w:val="00EA4C51"/>
    <w:rsid w:val="00EA4C52"/>
    <w:rsid w:val="00EA726A"/>
    <w:rsid w:val="00EA75E8"/>
    <w:rsid w:val="00EB0F16"/>
    <w:rsid w:val="00EB507A"/>
    <w:rsid w:val="00EB5157"/>
    <w:rsid w:val="00EB5F2D"/>
    <w:rsid w:val="00EC0C92"/>
    <w:rsid w:val="00EC1BAC"/>
    <w:rsid w:val="00EC3883"/>
    <w:rsid w:val="00EC5529"/>
    <w:rsid w:val="00ED1DE0"/>
    <w:rsid w:val="00ED2C5A"/>
    <w:rsid w:val="00ED5458"/>
    <w:rsid w:val="00ED6D68"/>
    <w:rsid w:val="00EE0BD6"/>
    <w:rsid w:val="00EE440E"/>
    <w:rsid w:val="00EE4726"/>
    <w:rsid w:val="00EF6BE3"/>
    <w:rsid w:val="00EF6DFE"/>
    <w:rsid w:val="00F0466C"/>
    <w:rsid w:val="00F0478E"/>
    <w:rsid w:val="00F071FF"/>
    <w:rsid w:val="00F07CBC"/>
    <w:rsid w:val="00F166FC"/>
    <w:rsid w:val="00F22678"/>
    <w:rsid w:val="00F31C7B"/>
    <w:rsid w:val="00F37FAC"/>
    <w:rsid w:val="00F40053"/>
    <w:rsid w:val="00F40CFE"/>
    <w:rsid w:val="00F44B7C"/>
    <w:rsid w:val="00F46DD3"/>
    <w:rsid w:val="00F46E4B"/>
    <w:rsid w:val="00F500CD"/>
    <w:rsid w:val="00F509E6"/>
    <w:rsid w:val="00F5519B"/>
    <w:rsid w:val="00F6044A"/>
    <w:rsid w:val="00F60780"/>
    <w:rsid w:val="00F60D6F"/>
    <w:rsid w:val="00F65346"/>
    <w:rsid w:val="00F76DE1"/>
    <w:rsid w:val="00F80F9E"/>
    <w:rsid w:val="00F85794"/>
    <w:rsid w:val="00F871A8"/>
    <w:rsid w:val="00F91D7D"/>
    <w:rsid w:val="00F92622"/>
    <w:rsid w:val="00F954FB"/>
    <w:rsid w:val="00FA03A0"/>
    <w:rsid w:val="00FA2CE6"/>
    <w:rsid w:val="00FA631F"/>
    <w:rsid w:val="00FB1A33"/>
    <w:rsid w:val="00FC0A86"/>
    <w:rsid w:val="00FC0E65"/>
    <w:rsid w:val="00FC7558"/>
    <w:rsid w:val="00FD04D7"/>
    <w:rsid w:val="00FD14D0"/>
    <w:rsid w:val="00FD2D42"/>
    <w:rsid w:val="00FE1FA7"/>
    <w:rsid w:val="00FF0CF3"/>
    <w:rsid w:val="00FF2F33"/>
    <w:rsid w:val="00FF41BF"/>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rPr>
      <w:kern w:val="2"/>
      <w:sz w:val="18"/>
      <w:szCs w:val="18"/>
    </w:rPr>
  </w:style>
  <w:style w:type="paragraph" w:styleId="ac">
    <w:name w:val="List Paragraph"/>
    <w:basedOn w:val="a"/>
    <w:uiPriority w:val="34"/>
    <w:qFormat/>
    <w:pPr>
      <w:ind w:firstLineChars="200" w:firstLine="420"/>
    </w:pPr>
  </w:style>
  <w:style w:type="character" w:styleId="ad">
    <w:name w:val="Emphasis"/>
    <w:basedOn w:val="a0"/>
    <w:uiPriority w:val="20"/>
    <w:qFormat/>
    <w:rsid w:val="00737EDE"/>
    <w:rPr>
      <w:i/>
      <w:iCs/>
    </w:rPr>
  </w:style>
  <w:style w:type="paragraph" w:styleId="ae">
    <w:name w:val="Revision"/>
    <w:hidden/>
    <w:uiPriority w:val="99"/>
    <w:semiHidden/>
    <w:rsid w:val="00022900"/>
    <w:rPr>
      <w:rFonts w:asciiTheme="minorHAnsi" w:eastAsiaTheme="minorEastAsia" w:hAnsiTheme="minorHAnsi" w:cstheme="minorBidi"/>
      <w:kern w:val="2"/>
      <w:sz w:val="21"/>
      <w:szCs w:val="22"/>
    </w:rPr>
  </w:style>
  <w:style w:type="character" w:customStyle="1" w:styleId="text-only">
    <w:name w:val="text-only"/>
    <w:basedOn w:val="a0"/>
    <w:rsid w:val="00A1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334">
      <w:bodyDiv w:val="1"/>
      <w:marLeft w:val="0"/>
      <w:marRight w:val="0"/>
      <w:marTop w:val="0"/>
      <w:marBottom w:val="0"/>
      <w:divBdr>
        <w:top w:val="none" w:sz="0" w:space="0" w:color="auto"/>
        <w:left w:val="none" w:sz="0" w:space="0" w:color="auto"/>
        <w:bottom w:val="none" w:sz="0" w:space="0" w:color="auto"/>
        <w:right w:val="none" w:sz="0" w:space="0" w:color="auto"/>
      </w:divBdr>
      <w:divsChild>
        <w:div w:id="1085299805">
          <w:marLeft w:val="0"/>
          <w:marRight w:val="0"/>
          <w:marTop w:val="0"/>
          <w:marBottom w:val="0"/>
          <w:divBdr>
            <w:top w:val="none" w:sz="0" w:space="0" w:color="auto"/>
            <w:left w:val="none" w:sz="0" w:space="0" w:color="auto"/>
            <w:bottom w:val="none" w:sz="0" w:space="0" w:color="auto"/>
            <w:right w:val="none" w:sz="0" w:space="0" w:color="auto"/>
          </w:divBdr>
        </w:div>
      </w:divsChild>
    </w:div>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19808003">
      <w:bodyDiv w:val="1"/>
      <w:marLeft w:val="0"/>
      <w:marRight w:val="0"/>
      <w:marTop w:val="0"/>
      <w:marBottom w:val="0"/>
      <w:divBdr>
        <w:top w:val="none" w:sz="0" w:space="0" w:color="auto"/>
        <w:left w:val="none" w:sz="0" w:space="0" w:color="auto"/>
        <w:bottom w:val="none" w:sz="0" w:space="0" w:color="auto"/>
        <w:right w:val="none" w:sz="0" w:space="0" w:color="auto"/>
      </w:divBdr>
      <w:divsChild>
        <w:div w:id="554244965">
          <w:marLeft w:val="0"/>
          <w:marRight w:val="0"/>
          <w:marTop w:val="0"/>
          <w:marBottom w:val="0"/>
          <w:divBdr>
            <w:top w:val="none" w:sz="0" w:space="0" w:color="auto"/>
            <w:left w:val="none" w:sz="0" w:space="0" w:color="auto"/>
            <w:bottom w:val="none" w:sz="0" w:space="0" w:color="auto"/>
            <w:right w:val="none" w:sz="0" w:space="0" w:color="auto"/>
          </w:divBdr>
        </w:div>
      </w:divsChild>
    </w:div>
    <w:div w:id="429199659">
      <w:bodyDiv w:val="1"/>
      <w:marLeft w:val="0"/>
      <w:marRight w:val="0"/>
      <w:marTop w:val="0"/>
      <w:marBottom w:val="0"/>
      <w:divBdr>
        <w:top w:val="none" w:sz="0" w:space="0" w:color="auto"/>
        <w:left w:val="none" w:sz="0" w:space="0" w:color="auto"/>
        <w:bottom w:val="none" w:sz="0" w:space="0" w:color="auto"/>
        <w:right w:val="none" w:sz="0" w:space="0" w:color="auto"/>
      </w:divBdr>
      <w:divsChild>
        <w:div w:id="997268159">
          <w:marLeft w:val="0"/>
          <w:marRight w:val="0"/>
          <w:marTop w:val="0"/>
          <w:marBottom w:val="0"/>
          <w:divBdr>
            <w:top w:val="none" w:sz="0" w:space="0" w:color="auto"/>
            <w:left w:val="none" w:sz="0" w:space="0" w:color="auto"/>
            <w:bottom w:val="none" w:sz="0" w:space="0" w:color="auto"/>
            <w:right w:val="none" w:sz="0" w:space="0" w:color="auto"/>
          </w:divBdr>
        </w:div>
      </w:divsChild>
    </w:div>
    <w:div w:id="462427970">
      <w:bodyDiv w:val="1"/>
      <w:marLeft w:val="0"/>
      <w:marRight w:val="0"/>
      <w:marTop w:val="0"/>
      <w:marBottom w:val="0"/>
      <w:divBdr>
        <w:top w:val="none" w:sz="0" w:space="0" w:color="auto"/>
        <w:left w:val="none" w:sz="0" w:space="0" w:color="auto"/>
        <w:bottom w:val="none" w:sz="0" w:space="0" w:color="auto"/>
        <w:right w:val="none" w:sz="0" w:space="0" w:color="auto"/>
      </w:divBdr>
      <w:divsChild>
        <w:div w:id="970019329">
          <w:marLeft w:val="0"/>
          <w:marRight w:val="0"/>
          <w:marTop w:val="0"/>
          <w:marBottom w:val="0"/>
          <w:divBdr>
            <w:top w:val="none" w:sz="0" w:space="0" w:color="auto"/>
            <w:left w:val="none" w:sz="0" w:space="0" w:color="auto"/>
            <w:bottom w:val="none" w:sz="0" w:space="0" w:color="auto"/>
            <w:right w:val="none" w:sz="0" w:space="0" w:color="auto"/>
          </w:divBdr>
        </w:div>
      </w:divsChild>
    </w:div>
    <w:div w:id="769662840">
      <w:bodyDiv w:val="1"/>
      <w:marLeft w:val="0"/>
      <w:marRight w:val="0"/>
      <w:marTop w:val="0"/>
      <w:marBottom w:val="0"/>
      <w:divBdr>
        <w:top w:val="none" w:sz="0" w:space="0" w:color="auto"/>
        <w:left w:val="none" w:sz="0" w:space="0" w:color="auto"/>
        <w:bottom w:val="none" w:sz="0" w:space="0" w:color="auto"/>
        <w:right w:val="none" w:sz="0" w:space="0" w:color="auto"/>
      </w:divBdr>
      <w:divsChild>
        <w:div w:id="336465902">
          <w:marLeft w:val="0"/>
          <w:marRight w:val="0"/>
          <w:marTop w:val="0"/>
          <w:marBottom w:val="0"/>
          <w:divBdr>
            <w:top w:val="none" w:sz="0" w:space="0" w:color="auto"/>
            <w:left w:val="none" w:sz="0" w:space="0" w:color="auto"/>
            <w:bottom w:val="none" w:sz="0" w:space="0" w:color="auto"/>
            <w:right w:val="none" w:sz="0" w:space="0" w:color="auto"/>
          </w:divBdr>
        </w:div>
      </w:divsChild>
    </w:div>
    <w:div w:id="992685120">
      <w:bodyDiv w:val="1"/>
      <w:marLeft w:val="0"/>
      <w:marRight w:val="0"/>
      <w:marTop w:val="0"/>
      <w:marBottom w:val="0"/>
      <w:divBdr>
        <w:top w:val="none" w:sz="0" w:space="0" w:color="auto"/>
        <w:left w:val="none" w:sz="0" w:space="0" w:color="auto"/>
        <w:bottom w:val="none" w:sz="0" w:space="0" w:color="auto"/>
        <w:right w:val="none" w:sz="0" w:space="0" w:color="auto"/>
      </w:divBdr>
      <w:divsChild>
        <w:div w:id="393502985">
          <w:marLeft w:val="0"/>
          <w:marRight w:val="0"/>
          <w:marTop w:val="0"/>
          <w:marBottom w:val="0"/>
          <w:divBdr>
            <w:top w:val="none" w:sz="0" w:space="0" w:color="auto"/>
            <w:left w:val="none" w:sz="0" w:space="0" w:color="auto"/>
            <w:bottom w:val="none" w:sz="0" w:space="0" w:color="auto"/>
            <w:right w:val="none" w:sz="0" w:space="0" w:color="auto"/>
          </w:divBdr>
        </w:div>
      </w:divsChild>
    </w:div>
    <w:div w:id="1042823313">
      <w:bodyDiv w:val="1"/>
      <w:marLeft w:val="0"/>
      <w:marRight w:val="0"/>
      <w:marTop w:val="0"/>
      <w:marBottom w:val="0"/>
      <w:divBdr>
        <w:top w:val="none" w:sz="0" w:space="0" w:color="auto"/>
        <w:left w:val="none" w:sz="0" w:space="0" w:color="auto"/>
        <w:bottom w:val="none" w:sz="0" w:space="0" w:color="auto"/>
        <w:right w:val="none" w:sz="0" w:space="0" w:color="auto"/>
      </w:divBdr>
      <w:divsChild>
        <w:div w:id="152765325">
          <w:marLeft w:val="0"/>
          <w:marRight w:val="0"/>
          <w:marTop w:val="0"/>
          <w:marBottom w:val="0"/>
          <w:divBdr>
            <w:top w:val="none" w:sz="0" w:space="0" w:color="auto"/>
            <w:left w:val="none" w:sz="0" w:space="0" w:color="auto"/>
            <w:bottom w:val="none" w:sz="0" w:space="0" w:color="auto"/>
            <w:right w:val="none" w:sz="0" w:space="0" w:color="auto"/>
          </w:divBdr>
        </w:div>
      </w:divsChild>
    </w:div>
    <w:div w:id="1070931643">
      <w:bodyDiv w:val="1"/>
      <w:marLeft w:val="0"/>
      <w:marRight w:val="0"/>
      <w:marTop w:val="0"/>
      <w:marBottom w:val="0"/>
      <w:divBdr>
        <w:top w:val="none" w:sz="0" w:space="0" w:color="auto"/>
        <w:left w:val="none" w:sz="0" w:space="0" w:color="auto"/>
        <w:bottom w:val="none" w:sz="0" w:space="0" w:color="auto"/>
        <w:right w:val="none" w:sz="0" w:space="0" w:color="auto"/>
      </w:divBdr>
      <w:divsChild>
        <w:div w:id="3750597">
          <w:marLeft w:val="0"/>
          <w:marRight w:val="0"/>
          <w:marTop w:val="0"/>
          <w:marBottom w:val="0"/>
          <w:divBdr>
            <w:top w:val="none" w:sz="0" w:space="0" w:color="auto"/>
            <w:left w:val="none" w:sz="0" w:space="0" w:color="auto"/>
            <w:bottom w:val="none" w:sz="0" w:space="0" w:color="auto"/>
            <w:right w:val="none" w:sz="0" w:space="0" w:color="auto"/>
          </w:divBdr>
        </w:div>
      </w:divsChild>
    </w:div>
    <w:div w:id="1345941395">
      <w:bodyDiv w:val="1"/>
      <w:marLeft w:val="0"/>
      <w:marRight w:val="0"/>
      <w:marTop w:val="0"/>
      <w:marBottom w:val="0"/>
      <w:divBdr>
        <w:top w:val="none" w:sz="0" w:space="0" w:color="auto"/>
        <w:left w:val="none" w:sz="0" w:space="0" w:color="auto"/>
        <w:bottom w:val="none" w:sz="0" w:space="0" w:color="auto"/>
        <w:right w:val="none" w:sz="0" w:space="0" w:color="auto"/>
      </w:divBdr>
      <w:divsChild>
        <w:div w:id="1427311569">
          <w:marLeft w:val="0"/>
          <w:marRight w:val="0"/>
          <w:marTop w:val="0"/>
          <w:marBottom w:val="0"/>
          <w:divBdr>
            <w:top w:val="none" w:sz="0" w:space="0" w:color="auto"/>
            <w:left w:val="none" w:sz="0" w:space="0" w:color="auto"/>
            <w:bottom w:val="none" w:sz="0" w:space="0" w:color="auto"/>
            <w:right w:val="none" w:sz="0" w:space="0" w:color="auto"/>
          </w:divBdr>
        </w:div>
      </w:divsChild>
    </w:div>
    <w:div w:id="1445493485">
      <w:bodyDiv w:val="1"/>
      <w:marLeft w:val="0"/>
      <w:marRight w:val="0"/>
      <w:marTop w:val="0"/>
      <w:marBottom w:val="0"/>
      <w:divBdr>
        <w:top w:val="none" w:sz="0" w:space="0" w:color="auto"/>
        <w:left w:val="none" w:sz="0" w:space="0" w:color="auto"/>
        <w:bottom w:val="none" w:sz="0" w:space="0" w:color="auto"/>
        <w:right w:val="none" w:sz="0" w:space="0" w:color="auto"/>
      </w:divBdr>
      <w:divsChild>
        <w:div w:id="1172066422">
          <w:marLeft w:val="0"/>
          <w:marRight w:val="0"/>
          <w:marTop w:val="0"/>
          <w:marBottom w:val="0"/>
          <w:divBdr>
            <w:top w:val="none" w:sz="0" w:space="0" w:color="auto"/>
            <w:left w:val="none" w:sz="0" w:space="0" w:color="auto"/>
            <w:bottom w:val="none" w:sz="0" w:space="0" w:color="auto"/>
            <w:right w:val="none" w:sz="0" w:space="0" w:color="auto"/>
          </w:divBdr>
        </w:div>
      </w:divsChild>
    </w:div>
    <w:div w:id="1482653638">
      <w:bodyDiv w:val="1"/>
      <w:marLeft w:val="0"/>
      <w:marRight w:val="0"/>
      <w:marTop w:val="0"/>
      <w:marBottom w:val="0"/>
      <w:divBdr>
        <w:top w:val="none" w:sz="0" w:space="0" w:color="auto"/>
        <w:left w:val="none" w:sz="0" w:space="0" w:color="auto"/>
        <w:bottom w:val="none" w:sz="0" w:space="0" w:color="auto"/>
        <w:right w:val="none" w:sz="0" w:space="0" w:color="auto"/>
      </w:divBdr>
      <w:divsChild>
        <w:div w:id="1357847549">
          <w:marLeft w:val="0"/>
          <w:marRight w:val="0"/>
          <w:marTop w:val="0"/>
          <w:marBottom w:val="0"/>
          <w:divBdr>
            <w:top w:val="none" w:sz="0" w:space="0" w:color="auto"/>
            <w:left w:val="none" w:sz="0" w:space="0" w:color="auto"/>
            <w:bottom w:val="none" w:sz="0" w:space="0" w:color="auto"/>
            <w:right w:val="none" w:sz="0" w:space="0" w:color="auto"/>
          </w:divBdr>
        </w:div>
      </w:divsChild>
    </w:div>
    <w:div w:id="1537891690">
      <w:bodyDiv w:val="1"/>
      <w:marLeft w:val="0"/>
      <w:marRight w:val="0"/>
      <w:marTop w:val="0"/>
      <w:marBottom w:val="0"/>
      <w:divBdr>
        <w:top w:val="none" w:sz="0" w:space="0" w:color="auto"/>
        <w:left w:val="none" w:sz="0" w:space="0" w:color="auto"/>
        <w:bottom w:val="none" w:sz="0" w:space="0" w:color="auto"/>
        <w:right w:val="none" w:sz="0" w:space="0" w:color="auto"/>
      </w:divBdr>
      <w:divsChild>
        <w:div w:id="1754932192">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 w:id="1855537411">
      <w:bodyDiv w:val="1"/>
      <w:marLeft w:val="0"/>
      <w:marRight w:val="0"/>
      <w:marTop w:val="0"/>
      <w:marBottom w:val="0"/>
      <w:divBdr>
        <w:top w:val="none" w:sz="0" w:space="0" w:color="auto"/>
        <w:left w:val="none" w:sz="0" w:space="0" w:color="auto"/>
        <w:bottom w:val="none" w:sz="0" w:space="0" w:color="auto"/>
        <w:right w:val="none" w:sz="0" w:space="0" w:color="auto"/>
      </w:divBdr>
      <w:divsChild>
        <w:div w:id="8011137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4E33AF9-DD8E-4BDC-9911-D13B8E562D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4</Pages>
  <Words>347</Words>
  <Characters>1984</Characters>
  <Application>Microsoft Office Word</Application>
  <DocSecurity>0</DocSecurity>
  <Lines>16</Lines>
  <Paragraphs>4</Paragraphs>
  <ScaleCrop>false</ScaleCrop>
  <Company>P R C</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cyy3206@163.com</cp:lastModifiedBy>
  <cp:revision>222</cp:revision>
  <dcterms:created xsi:type="dcterms:W3CDTF">2023-01-10T06:06:00Z</dcterms:created>
  <dcterms:modified xsi:type="dcterms:W3CDTF">2023-04-07T02:10:00Z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