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76014" w14:textId="77777777" w:rsidR="006F11DC" w:rsidRDefault="00CD490E">
      <w:pPr>
        <w:ind w:leftChars="-405" w:left="1" w:rightChars="-297" w:right="-624" w:hangingChars="353" w:hanging="851"/>
        <w:rPr>
          <w:rFonts w:ascii="宋体" w:eastAsia="宋体" w:hAnsi="宋体" w:cs="Calibri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证券简称：</w:t>
      </w:r>
      <w:r>
        <w:rPr>
          <w:rFonts w:ascii="宋体" w:eastAsia="宋体" w:hAnsi="宋体" w:hint="eastAsia"/>
          <w:b/>
          <w:bCs/>
          <w:sz w:val="24"/>
          <w:szCs w:val="24"/>
        </w:rPr>
        <w:t>安必平</w:t>
      </w:r>
      <w:r>
        <w:rPr>
          <w:rFonts w:ascii="宋体" w:eastAsia="宋体" w:hAnsi="宋体"/>
          <w:b/>
          <w:bCs/>
          <w:sz w:val="24"/>
          <w:szCs w:val="24"/>
        </w:rPr>
        <w:tab/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                                            </w:t>
      </w:r>
      <w:r>
        <w:rPr>
          <w:rFonts w:ascii="宋体" w:eastAsia="宋体" w:hAnsi="宋体"/>
          <w:b/>
          <w:bCs/>
          <w:sz w:val="24"/>
          <w:szCs w:val="24"/>
        </w:rPr>
        <w:t xml:space="preserve"> 证券代码：</w:t>
      </w:r>
      <w:r>
        <w:rPr>
          <w:rFonts w:ascii="宋体" w:eastAsia="宋体" w:hAnsi="宋体" w:cs="Calibri"/>
          <w:b/>
          <w:bCs/>
          <w:sz w:val="24"/>
          <w:szCs w:val="24"/>
        </w:rPr>
        <w:t>688</w:t>
      </w:r>
      <w:r>
        <w:rPr>
          <w:rFonts w:ascii="宋体" w:eastAsia="宋体" w:hAnsi="宋体" w:cs="Calibri" w:hint="eastAsia"/>
          <w:b/>
          <w:bCs/>
          <w:sz w:val="24"/>
          <w:szCs w:val="24"/>
        </w:rPr>
        <w:t>393</w:t>
      </w:r>
    </w:p>
    <w:p w14:paraId="62DDB821" w14:textId="77777777" w:rsidR="006F11DC" w:rsidRDefault="006F11DC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30"/>
          <w:szCs w:val="30"/>
        </w:rPr>
      </w:pPr>
    </w:p>
    <w:p w14:paraId="6EEDB429" w14:textId="77777777" w:rsidR="006F11DC" w:rsidRDefault="00CD490E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广州安必平医药科技股份有限公司</w:t>
      </w:r>
    </w:p>
    <w:p w14:paraId="3025717F" w14:textId="77777777" w:rsidR="006F11DC" w:rsidRDefault="00CD490E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投资者关系活动记录表</w:t>
      </w:r>
    </w:p>
    <w:p w14:paraId="277FDE7E" w14:textId="77777777" w:rsidR="006F11DC" w:rsidRDefault="00CD490E">
      <w:pPr>
        <w:spacing w:line="360" w:lineRule="auto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（202</w:t>
      </w:r>
      <w:r>
        <w:rPr>
          <w:rFonts w:ascii="黑体" w:eastAsia="黑体" w:hAnsi="黑体"/>
          <w:b/>
          <w:bCs/>
          <w:sz w:val="30"/>
          <w:szCs w:val="30"/>
        </w:rPr>
        <w:t>2</w:t>
      </w:r>
      <w:r>
        <w:rPr>
          <w:rFonts w:ascii="黑体" w:eastAsia="黑体" w:hAnsi="黑体" w:hint="eastAsia"/>
          <w:b/>
          <w:bCs/>
          <w:sz w:val="30"/>
          <w:szCs w:val="30"/>
        </w:rPr>
        <w:t>年</w:t>
      </w:r>
      <w:r>
        <w:rPr>
          <w:rFonts w:ascii="黑体" w:eastAsia="黑体" w:hAnsi="黑体"/>
          <w:b/>
          <w:bCs/>
          <w:sz w:val="30"/>
          <w:szCs w:val="30"/>
        </w:rPr>
        <w:t>6</w:t>
      </w:r>
      <w:r>
        <w:rPr>
          <w:rFonts w:ascii="黑体" w:eastAsia="黑体" w:hAnsi="黑体" w:hint="eastAsia"/>
          <w:b/>
          <w:bCs/>
          <w:sz w:val="30"/>
          <w:szCs w:val="30"/>
        </w:rPr>
        <w:t>月）</w:t>
      </w:r>
    </w:p>
    <w:p w14:paraId="6F875AF1" w14:textId="77777777" w:rsidR="006F11DC" w:rsidRDefault="006F11DC">
      <w:pPr>
        <w:rPr>
          <w:rFonts w:ascii="宋体" w:eastAsia="宋体" w:hAnsi="宋体" w:cs="Calibri"/>
          <w:b/>
          <w:bCs/>
          <w:sz w:val="24"/>
          <w:szCs w:val="24"/>
        </w:rPr>
      </w:pPr>
    </w:p>
    <w:tbl>
      <w:tblPr>
        <w:tblStyle w:val="a7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7683"/>
      </w:tblGrid>
      <w:tr w:rsidR="006F11DC" w14:paraId="58E43C6D" w14:textId="77777777">
        <w:trPr>
          <w:trHeight w:val="310"/>
        </w:trPr>
        <w:tc>
          <w:tcPr>
            <w:tcW w:w="2098" w:type="dxa"/>
            <w:vAlign w:val="center"/>
          </w:tcPr>
          <w:p w14:paraId="36B8C138" w14:textId="77777777" w:rsidR="006F11DC" w:rsidRDefault="00CD490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投资者关系</w:t>
            </w:r>
          </w:p>
          <w:p w14:paraId="68D949F2" w14:textId="77777777" w:rsidR="006F11DC" w:rsidRDefault="00CD490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活动类别</w:t>
            </w:r>
          </w:p>
        </w:tc>
        <w:tc>
          <w:tcPr>
            <w:tcW w:w="7683" w:type="dxa"/>
          </w:tcPr>
          <w:p w14:paraId="72F6C97D" w14:textId="77777777" w:rsidR="006F11DC" w:rsidRDefault="00CD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特定对象调研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□分析师会议 </w:t>
            </w:r>
          </w:p>
          <w:p w14:paraId="009CB4EE" w14:textId="77777777" w:rsidR="006F11DC" w:rsidRDefault="00CD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□媒体采访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□业绩说明会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</w:p>
          <w:p w14:paraId="16D5ACF6" w14:textId="77777777" w:rsidR="006F11DC" w:rsidRDefault="00CD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新闻</w:t>
            </w:r>
            <w:r>
              <w:rPr>
                <w:rFonts w:ascii="宋体" w:eastAsia="宋体" w:hAnsi="宋体"/>
                <w:sz w:val="24"/>
                <w:szCs w:val="24"/>
              </w:rPr>
              <w:t>发布会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□路演活动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</w:p>
          <w:p w14:paraId="1E590A13" w14:textId="77777777" w:rsidR="006F11DC" w:rsidRDefault="00CD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现场参观                √其他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</w:p>
        </w:tc>
      </w:tr>
      <w:tr w:rsidR="006F11DC" w14:paraId="47343994" w14:textId="77777777">
        <w:trPr>
          <w:trHeight w:val="418"/>
        </w:trPr>
        <w:tc>
          <w:tcPr>
            <w:tcW w:w="2098" w:type="dxa"/>
            <w:vAlign w:val="center"/>
          </w:tcPr>
          <w:p w14:paraId="46EF08A9" w14:textId="77777777" w:rsidR="006F11DC" w:rsidRDefault="00CD490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参与单位名称</w:t>
            </w:r>
          </w:p>
        </w:tc>
        <w:tc>
          <w:tcPr>
            <w:tcW w:w="7683" w:type="dxa"/>
          </w:tcPr>
          <w:p w14:paraId="5B2C227F" w14:textId="5DBCC6E4" w:rsidR="006F11DC" w:rsidRDefault="00CD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九泰基金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、成都海天鸿</w:t>
            </w:r>
          </w:p>
        </w:tc>
      </w:tr>
      <w:tr w:rsidR="006F11DC" w14:paraId="4691B0FF" w14:textId="77777777">
        <w:trPr>
          <w:trHeight w:val="416"/>
        </w:trPr>
        <w:tc>
          <w:tcPr>
            <w:tcW w:w="2098" w:type="dxa"/>
            <w:vAlign w:val="center"/>
          </w:tcPr>
          <w:p w14:paraId="3991BBA2" w14:textId="77777777" w:rsidR="006F11DC" w:rsidRDefault="00CD490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7683" w:type="dxa"/>
          </w:tcPr>
          <w:p w14:paraId="26D7F9AA" w14:textId="0BC37BDA" w:rsidR="006F11DC" w:rsidRDefault="00CD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>
              <w:rPr>
                <w:rFonts w:ascii="宋体" w:eastAsia="宋体" w:hAnsi="宋体"/>
                <w:sz w:val="24"/>
                <w:szCs w:val="24"/>
              </w:rPr>
              <w:t>2年6月22日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24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6F11DC" w14:paraId="0EF1FEB8" w14:textId="77777777">
        <w:trPr>
          <w:trHeight w:val="208"/>
        </w:trPr>
        <w:tc>
          <w:tcPr>
            <w:tcW w:w="2098" w:type="dxa"/>
            <w:vAlign w:val="center"/>
          </w:tcPr>
          <w:p w14:paraId="5E3FEFFD" w14:textId="77777777" w:rsidR="006F11DC" w:rsidRDefault="00CD490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7683" w:type="dxa"/>
          </w:tcPr>
          <w:p w14:paraId="55E6B671" w14:textId="77777777" w:rsidR="006F11DC" w:rsidRDefault="00CD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线上会议</w:t>
            </w:r>
          </w:p>
        </w:tc>
      </w:tr>
      <w:tr w:rsidR="006F11DC" w14:paraId="0923AC3A" w14:textId="77777777">
        <w:trPr>
          <w:trHeight w:val="206"/>
        </w:trPr>
        <w:tc>
          <w:tcPr>
            <w:tcW w:w="2098" w:type="dxa"/>
            <w:vAlign w:val="center"/>
          </w:tcPr>
          <w:p w14:paraId="74C5A15F" w14:textId="77777777" w:rsidR="006F11DC" w:rsidRDefault="00CD490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公司接待人员</w:t>
            </w:r>
          </w:p>
        </w:tc>
        <w:tc>
          <w:tcPr>
            <w:tcW w:w="7683" w:type="dxa"/>
          </w:tcPr>
          <w:p w14:paraId="5CCCB31E" w14:textId="77777777" w:rsidR="006F11DC" w:rsidRDefault="00CD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董事会秘书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：蔡幸伦</w:t>
            </w:r>
          </w:p>
          <w:p w14:paraId="34007E9C" w14:textId="77777777" w:rsidR="006F11DC" w:rsidRDefault="00CD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投资者关系高级经理：陈元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元</w:t>
            </w:r>
            <w:proofErr w:type="gramEnd"/>
          </w:p>
          <w:p w14:paraId="1205F20E" w14:textId="2E26FB96" w:rsidR="006F11DC" w:rsidRDefault="00CD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证券事务</w:t>
            </w:r>
            <w:r>
              <w:rPr>
                <w:rFonts w:ascii="宋体" w:eastAsia="宋体" w:hAnsi="宋体"/>
                <w:sz w:val="24"/>
                <w:szCs w:val="24"/>
              </w:rPr>
              <w:t>代表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杜坤</w:t>
            </w:r>
            <w:proofErr w:type="gramEnd"/>
          </w:p>
        </w:tc>
      </w:tr>
      <w:tr w:rsidR="006F11DC" w14:paraId="15A6B814" w14:textId="77777777">
        <w:trPr>
          <w:trHeight w:val="206"/>
        </w:trPr>
        <w:tc>
          <w:tcPr>
            <w:tcW w:w="2098" w:type="dxa"/>
            <w:vAlign w:val="center"/>
          </w:tcPr>
          <w:p w14:paraId="3892D5D5" w14:textId="77777777" w:rsidR="006F11DC" w:rsidRDefault="00CD490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投资者关系活动主要内容介绍</w:t>
            </w:r>
          </w:p>
        </w:tc>
        <w:tc>
          <w:tcPr>
            <w:tcW w:w="7683" w:type="dxa"/>
          </w:tcPr>
          <w:p w14:paraId="74221F06" w14:textId="77777777" w:rsidR="006F11DC" w:rsidRDefault="00CD490E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交流的主要问题及答复：</w:t>
            </w:r>
          </w:p>
          <w:p w14:paraId="5C0D106E" w14:textId="2328F7F7" w:rsidR="006F11DC" w:rsidRDefault="00CD490E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细胞学目前的市场情况是怎么样的？安必平有什么样的特点？</w:t>
            </w:r>
          </w:p>
          <w:p w14:paraId="30D21AED" w14:textId="70E8AE89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答：宫颈癌细胞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学市场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情况是这样，中国有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4亿宫颈癌筛查适龄女性，按照国家宫颈癌筛查和治疗指南建议，每3年需要进行一次筛查，指南建议是细胞学和HPV双联检，中国每年需要检测的数量是8000万-1亿人份。国内宫颈癌筛查率只有30%，而欧美国家筛查率超80%，如果未来筛查普及率提高，市场还有很大扩容空间。安必平是国内少数可以实现细胞学+HPV联检的公司。</w:t>
            </w:r>
          </w:p>
          <w:p w14:paraId="075FBFFB" w14:textId="77777777" w:rsidR="006F11DC" w:rsidRDefault="006F11D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F54B767" w14:textId="068A27B3" w:rsidR="006F11DC" w:rsidRDefault="00CD490E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细胞学以及HPV</w:t>
            </w:r>
            <w:r w:rsidR="00E25D01">
              <w:rPr>
                <w:rFonts w:ascii="宋体" w:eastAsia="宋体" w:hAnsi="宋体" w:cs="Times New Roman"/>
                <w:sz w:val="24"/>
                <w:szCs w:val="24"/>
              </w:rPr>
              <w:t>检测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目前的市场竞争格局是怎样的？</w:t>
            </w:r>
          </w:p>
          <w:p w14:paraId="39D11019" w14:textId="3E51DA9B" w:rsidR="006F11DC" w:rsidRDefault="00CD490E" w:rsidP="00E25D01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答：细胞学要分国外和国内品牌。国外品牌目前是以美国的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BD和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豪洛捷这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两家为主，集中在标杆性的大三甲医院，剩下的就是国产品牌市场。一方面由于国外品牌进入国内市场比较早，另一方面细胞学本身</w:t>
            </w:r>
            <w:r w:rsidR="00E25D01">
              <w:rPr>
                <w:rFonts w:ascii="宋体" w:eastAsia="宋体" w:hAnsi="宋体" w:cs="Times New Roman" w:hint="eastAsia"/>
                <w:sz w:val="24"/>
                <w:szCs w:val="24"/>
              </w:rPr>
              <w:t>有</w:t>
            </w:r>
            <w:r w:rsidR="00E25D01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不</w:t>
            </w:r>
            <w:r w:rsidR="00E25D01">
              <w:rPr>
                <w:rFonts w:ascii="宋体" w:eastAsia="宋体" w:hAnsi="宋体" w:cs="Times New Roman" w:hint="eastAsia"/>
                <w:sz w:val="24"/>
                <w:szCs w:val="24"/>
              </w:rPr>
              <w:t>同的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技术路线，国产品牌各有优势，</w:t>
            </w:r>
            <w:r w:rsidR="00E25D01">
              <w:rPr>
                <w:rFonts w:ascii="宋体" w:eastAsia="宋体" w:hAnsi="宋体" w:cs="Times New Roman"/>
                <w:sz w:val="24"/>
                <w:szCs w:val="24"/>
              </w:rPr>
              <w:t>市场集中度</w:t>
            </w:r>
            <w:r w:rsidR="00E25D01">
              <w:rPr>
                <w:rFonts w:ascii="宋体" w:eastAsia="宋体" w:hAnsi="宋体" w:cs="Times New Roman" w:hint="eastAsia"/>
                <w:sz w:val="24"/>
                <w:szCs w:val="24"/>
              </w:rPr>
              <w:t>相对</w:t>
            </w:r>
            <w:r w:rsidR="00E25D01">
              <w:rPr>
                <w:rFonts w:ascii="宋体" w:eastAsia="宋体" w:hAnsi="宋体" w:cs="Times New Roman"/>
                <w:sz w:val="24"/>
                <w:szCs w:val="24"/>
              </w:rPr>
              <w:t>比较分散。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安必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平本身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技术路线与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BD类似，目前在质量上位居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国内液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基细胞学第一梯队，市场份额领先。</w:t>
            </w:r>
          </w:p>
          <w:p w14:paraId="15D0EAFE" w14:textId="6CAEBCB4" w:rsidR="006F11DC" w:rsidRDefault="00CD490E" w:rsidP="00E25D01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HPV</w:t>
            </w:r>
            <w:r w:rsidR="00E25D01">
              <w:rPr>
                <w:rFonts w:ascii="宋体" w:eastAsia="宋体" w:hAnsi="宋体" w:cs="Times New Roman"/>
                <w:sz w:val="24"/>
                <w:szCs w:val="24"/>
              </w:rPr>
              <w:t>检测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国内也有几家上市公司在做，大多公司是基于PCR这个技术平台或者方法。安必平</w:t>
            </w:r>
            <w:r w:rsidR="00E25D01">
              <w:rPr>
                <w:rFonts w:ascii="宋体" w:eastAsia="宋体" w:hAnsi="宋体" w:cs="Times New Roman" w:hint="eastAsia"/>
                <w:sz w:val="24"/>
                <w:szCs w:val="24"/>
              </w:rPr>
              <w:t>最初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发展HPV</w:t>
            </w:r>
            <w:r w:rsidR="00E25D01">
              <w:rPr>
                <w:rFonts w:ascii="宋体" w:eastAsia="宋体" w:hAnsi="宋体" w:cs="Times New Roman"/>
                <w:sz w:val="24"/>
                <w:szCs w:val="24"/>
              </w:rPr>
              <w:t>检测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的逻辑就是根据宫颈癌筛查指南的双联检要求，结合已有的细胞学检测拓展了PCR技术平台，双联检是我们的第一个特色。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第二个特色就是我们对宫颈癌细胞学进行流水线自动化和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AI 的升级。细胞学作为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宫颈癌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主要筛查项目，由于检测量较大，病理医生需要耗费大量时间和精力进行阴性片筛选。我们宫颈癌细胞学AI的目标就是自动完成65%-75%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的筛阴工作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，降低病理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医生筛阴工作量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，让他们集中精力去看疑难以及不确定性强的片子。</w:t>
            </w:r>
          </w:p>
          <w:p w14:paraId="0AD3DFAE" w14:textId="77777777" w:rsidR="006F11DC" w:rsidRDefault="006F11D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D38BBAC" w14:textId="6EF55490" w:rsidR="006F11DC" w:rsidRDefault="00D14A9F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国内</w:t>
            </w:r>
            <w:r w:rsidR="00CD490E">
              <w:rPr>
                <w:rFonts w:ascii="宋体" w:eastAsia="宋体" w:hAnsi="宋体" w:cs="Times New Roman"/>
                <w:sz w:val="24"/>
                <w:szCs w:val="24"/>
              </w:rPr>
              <w:t>病理AI目前的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发展</w:t>
            </w:r>
            <w:r w:rsidR="00CD490E">
              <w:rPr>
                <w:rFonts w:ascii="宋体" w:eastAsia="宋体" w:hAnsi="宋体" w:cs="Times New Roman"/>
                <w:sz w:val="24"/>
                <w:szCs w:val="24"/>
              </w:rPr>
              <w:t>情况是怎么样？</w:t>
            </w:r>
          </w:p>
          <w:p w14:paraId="71327E94" w14:textId="14552B73" w:rsidR="006F11DC" w:rsidRDefault="00CD490E" w:rsidP="00D14A9F">
            <w:pPr>
              <w:spacing w:line="360" w:lineRule="auto"/>
              <w:ind w:firstLineChars="200" w:firstLine="48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答：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目前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国内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有一批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病理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AI的初创型公司，多数是基于AI算法的基础在开发。他们在发展过程中会面临几个挑战：首先，缺少病理的数据基础。第二无法贴近病理科临床的使用需求。第三，病理AI最重要的一点是需要病理医生的有效标注，才能让AI获得学习</w:t>
            </w:r>
            <w:r w:rsidR="00E25D01">
              <w:rPr>
                <w:rFonts w:ascii="宋体" w:eastAsia="宋体" w:hAnsi="宋体" w:cs="Times New Roman"/>
                <w:sz w:val="24"/>
                <w:szCs w:val="24"/>
              </w:rPr>
              <w:t>，因此需要大量病理医生资源。而安必平深耕病理科多年，可以</w:t>
            </w:r>
            <w:r w:rsidR="00E25D01">
              <w:rPr>
                <w:rFonts w:ascii="宋体" w:eastAsia="宋体" w:hAnsi="宋体" w:cs="Times New Roman" w:hint="eastAsia"/>
                <w:sz w:val="24"/>
                <w:szCs w:val="24"/>
              </w:rPr>
              <w:t>有效</w:t>
            </w:r>
            <w:r w:rsidR="00E25D01">
              <w:rPr>
                <w:rFonts w:ascii="宋体" w:eastAsia="宋体" w:hAnsi="宋体" w:cs="Times New Roman"/>
                <w:sz w:val="24"/>
                <w:szCs w:val="24"/>
              </w:rPr>
              <w:t>解决上述问题。</w:t>
            </w:r>
          </w:p>
          <w:p w14:paraId="392EF5FE" w14:textId="511C2730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我们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跟腾讯合作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开发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的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宫颈癌细胞学人工智能辅助诊断系统，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就是腾讯输出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算法能力，我们提供病理科的数据和标注资源。</w:t>
            </w:r>
          </w:p>
          <w:p w14:paraId="4398AECF" w14:textId="77777777" w:rsidR="006F11DC" w:rsidRDefault="006F11DC">
            <w:pPr>
              <w:pStyle w:val="a9"/>
              <w:spacing w:line="360" w:lineRule="auto"/>
              <w:ind w:left="420"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3772572" w14:textId="77777777" w:rsidR="006F11DC" w:rsidRDefault="00CD490E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公司跟华为的合作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与腾讯的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合作有什么区别？</w:t>
            </w:r>
          </w:p>
          <w:p w14:paraId="1CE475FC" w14:textId="3F619FA0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答：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与腾讯的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合作是基于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AI 的一个具体产品</w:t>
            </w:r>
            <w:r w:rsidR="007D7691">
              <w:rPr>
                <w:rFonts w:ascii="宋体" w:eastAsia="宋体" w:hAnsi="宋体" w:cs="Times New Roman" w:hint="eastAsia"/>
                <w:sz w:val="24"/>
                <w:szCs w:val="24"/>
              </w:rPr>
              <w:t>——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宫颈细胞学人工智能辅助诊断系统。跟华为的合作更多的是病理科大数据库的建设。</w:t>
            </w:r>
          </w:p>
          <w:p w14:paraId="038F09C9" w14:textId="77777777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医院病理科与其他科室不太一样，切片、图像特别多。目前医院的存储是物理存放，其实可以通过数字化实现数据的云端存储和读取，但数据量非常大。我们与华为的合作，就是要解决病理科大数据库建设的问题。</w:t>
            </w:r>
          </w:p>
          <w:p w14:paraId="21771134" w14:textId="77777777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日前，广州市人民政府与华为技术有限公司签订全面深化战略合作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协议。根据协议，广州将发挥国家中心城市和综合性门户城市等优势，与华为全面加强战略合作，依托华为在研发和综合技术方面的能力及其在移动终端、云计算、大数据等领域的建设经验，把技术平台和生态资源与广州的产业、民生、政务服务有效连接起来，助力广东加快建设数字经济引领型城市和国际一流智慧城市。</w:t>
            </w:r>
          </w:p>
          <w:p w14:paraId="6FDBBFAB" w14:textId="77777777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安必平就是作为医疗类的生态合作伙伴入驻广州人工智能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公共算力中心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14:paraId="5C5503C6" w14:textId="77777777" w:rsidR="006F11DC" w:rsidRDefault="006F11D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47E9820" w14:textId="75FC830C" w:rsidR="006F11DC" w:rsidRDefault="00CD490E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从公司业务模块来说，病理AI的市场潜力是不是最大？</w:t>
            </w:r>
          </w:p>
          <w:p w14:paraId="479ECB42" w14:textId="77777777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答：病理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AI带给安必平的市场扩容可以从两个方面理解：第一，夯实公司细胞学的业务护城河。因为细胞学市场很大，被国外品牌高度垄断，国产品牌市场占有非常分散，超越国外品牌、实现进口替代，单纯从提高产品质量上难度较高，需要契机，我们认为病理AI就是实现细胞学弯道超车的机会。通过病理AI，提高细胞学的检测速度和效率，降低医生的时间成本。第二，病理AI本身也能实现产品销售收入。同时由于病理AI研发就是基于安必平的试剂和设备，那么AI的产品推广之后，会反过来带动细胞学试剂和设备的销售。</w:t>
            </w:r>
          </w:p>
          <w:p w14:paraId="31E86F54" w14:textId="77777777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基于这种协同效应，我们才把病理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AI作为战略新业务，目标是抢占进口品牌的市场份额，提高国产品牌的集中度。</w:t>
            </w:r>
          </w:p>
          <w:p w14:paraId="3D03C6E0" w14:textId="77777777" w:rsidR="006F11DC" w:rsidRDefault="006F11DC">
            <w:pPr>
              <w:pStyle w:val="a9"/>
              <w:spacing w:line="360" w:lineRule="auto"/>
              <w:ind w:left="420"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4F165A7" w14:textId="77777777" w:rsidR="006F11DC" w:rsidRDefault="00CD490E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病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理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共建的市场空间怎么评估，具体怎么去推动？</w:t>
            </w:r>
          </w:p>
          <w:p w14:paraId="4BD58F2F" w14:textId="77777777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答：目前国内医院的病理科呈现以下几个特点：首先病理医生非常缺乏。国内在册病理医生不到两万人，与欧美对比的缺口大约有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6-7 万人，而且病理医生培养周期非常长。第二个特点：国内病理科资源多集中在大城市三甲医院，基层医院的病理科比较薄弱。根据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卫健委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2019 年全国抽查数据显示，60%的医院未设置病理科或未开展病理业务。</w:t>
            </w:r>
          </w:p>
          <w:p w14:paraId="5AE2DDE8" w14:textId="77777777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日前《国家卫生健康委办公厅关于印发“千县工程”县医院综合能力提升工作方案（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2021-2025 年）的通知》显示，力争通过5年努力，全国至少1000家县医院达到三级医院医疗服务能力水平。“千县工程”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中明确指出组建的肿瘤防治中心、病理资源共享中心，均离不开病理科的支撑。</w:t>
            </w:r>
          </w:p>
          <w:p w14:paraId="4C67F355" w14:textId="77777777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病理科的建设与升级成为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1000多家县级医院的重点任务之一。我们的病理共建业务就是帮助这些基层医院建设病理科，通过指派技术员，投入我们的试剂和设备，引入数字病理产品，进行远程数据传输和共享，在疑难病例诊断上充分利用互联网的优势，整合全国病理专家资源。</w:t>
            </w:r>
          </w:p>
          <w:p w14:paraId="4AEEECDA" w14:textId="77777777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我们病理共建业务的预期效果是，实现以“输出产品、带教医生”的方式，帮助有需要的基层医疗机构建设病理科、培养病理专业人才，将病理科标本从原来的院外送检模式变成院内诊断模式。此项业务前期投入基本都是公司自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自产的试剂和设备，无需外购，成本可控，共建完成后与医院病理科进行收入分成。从去年的实践来看，这个模式受到了基层医院的认可。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  <w:p w14:paraId="33132373" w14:textId="77777777" w:rsidR="006F11DC" w:rsidRDefault="006F11D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043CE6B" w14:textId="77777777" w:rsidR="006F11DC" w:rsidRDefault="00CD490E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公司伴随诊断业务如何跟原有的传统业务或者技术平台形成协同？如何与竞争对手的形成差异化？</w:t>
            </w:r>
          </w:p>
          <w:p w14:paraId="2F9CC84F" w14:textId="64CD9F35" w:rsidR="006F11DC" w:rsidRDefault="00CD490E" w:rsidP="007D7691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答：对于伴随诊断业务来说，我们的特点是基于免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疫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组织化学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IHC和荧光原位杂交FISH这两个技术平台，现阶段的重点是基于免疫组化技术的伴随诊断。目前国内基于免疫组化的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伴随诊断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业务尚未出现标杆性的企业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，大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多处于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早期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起步阶段，因此在该领域的竞争对手还不多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14:paraId="17246D61" w14:textId="77777777" w:rsidR="007D7691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我们做免疫组化的伴随诊断主要有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四大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优势：</w:t>
            </w:r>
          </w:p>
          <w:p w14:paraId="2CBD3DF1" w14:textId="6B84E838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第一是在抗体的研发上，我们现在已经具备了自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抗体的能力，包括抗体筛选、细胞克隆技术，公司拥有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200多个自有一抗克隆号。</w:t>
            </w:r>
          </w:p>
          <w:p w14:paraId="72FE05B6" w14:textId="299D3E51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第二个优势就是公司从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2005年成立至今，商业化、市场化的能力很强。免疫组化的伴随诊断，本质上还是要遵循医疗器械管理体系，公司在这方面具备大量成功经验并已取得相应的资质。</w:t>
            </w:r>
          </w:p>
          <w:p w14:paraId="162E1C0B" w14:textId="09E16887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第三个优势，我们与基于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PCR技术做伴随诊断不同的是，从方法学上说，PCR不依赖医生的判读，但是免疫组化技术是基于蛋白靶点的形态学检测，更加依赖每个医生的经验，必须要在药物的临床阶段甚至临床前进行研究的时候，把判读标准建立起来。在诊断试剂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盒上市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以后，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更加需要厂家进行诊断培训和学术培训。安必平作为深耕病理科试剂和设备的厂家，在免疫组化伴随诊断上，具有其他体外诊断厂家不具备的优势。我们在跟很多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药企接触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的时候，他们都非常关注我们的病理科、病理医生的资源，这也是我们独特的优势。</w:t>
            </w:r>
          </w:p>
          <w:p w14:paraId="01F68E78" w14:textId="2F6DE536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第四个优势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，免疫组化试剂盒和病理AI的结合。病理AI可以很好的解决判读标准化问题。免疫组化伴随诊断对判读标准的准确性以及判读区间有更高的要求。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药企也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很关注我们的病理AI能力。</w:t>
            </w:r>
          </w:p>
          <w:p w14:paraId="6AC4351C" w14:textId="77777777" w:rsidR="006F11DC" w:rsidRDefault="006F11DC">
            <w:pPr>
              <w:pStyle w:val="a9"/>
              <w:spacing w:line="360" w:lineRule="auto"/>
              <w:ind w:left="420"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43650C3" w14:textId="77777777" w:rsidR="006F11DC" w:rsidRDefault="00CD490E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前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阵子公司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投资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了达健生物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，是基于什么考虑？</w:t>
            </w:r>
          </w:p>
          <w:p w14:paraId="32C50E4D" w14:textId="77777777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答：我们的主营业务就是做肿瘤筛查和精准诊断，产业投资的逻辑也是基于主营业务的延伸。肿瘤筛查的方法很多，包括细胞学、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PCR都是主流方法。此外我们也很看好甲基化检测技术，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达健就是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做甲基化检测，而且创始人也是分子病理行业、肿瘤筛查领域比较著名的业内人士，我们比较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看好达健的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发展前景，对于丰富我们的产品线、拓展渠道合作是双赢的模式。未来我们也会继续考虑通过这种方式布局肿瘤甲基化检测。</w:t>
            </w:r>
          </w:p>
          <w:p w14:paraId="4CC2620F" w14:textId="77777777" w:rsidR="006F11DC" w:rsidRDefault="006F11D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838BB3B" w14:textId="77777777" w:rsidR="006F11DC" w:rsidRDefault="00CD490E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除了宫颈癌，公司在其他癌种上还有拓展吗？</w:t>
            </w:r>
          </w:p>
          <w:p w14:paraId="1373A1D9" w14:textId="133D0CBC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答：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基于公司的LBP、PCR、</w:t>
            </w:r>
            <w:r w:rsidR="007D7691">
              <w:rPr>
                <w:rFonts w:ascii="宋体" w:eastAsia="宋体" w:hAnsi="宋体" w:cs="Times New Roman"/>
                <w:sz w:val="24"/>
                <w:szCs w:val="24"/>
              </w:rPr>
              <w:t>FISH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和</w:t>
            </w:r>
            <w:r w:rsidR="007D7691">
              <w:rPr>
                <w:rFonts w:ascii="宋体" w:eastAsia="宋体" w:hAnsi="宋体" w:cs="Times New Roman"/>
                <w:sz w:val="24"/>
                <w:szCs w:val="24"/>
              </w:rPr>
              <w:t>IHC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等核心技术，公司已形成了覆盖宫颈癌、乳腺癌、肺癌、淋巴瘤、白血病、软组织肿瘤等数十种癌种的500余种注册备案产品，目前是宫颈癌筛查相关产品收入占比最高。</w:t>
            </w:r>
          </w:p>
          <w:p w14:paraId="5614CC62" w14:textId="77777777" w:rsidR="006F11DC" w:rsidRDefault="006F11D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6F1C189" w14:textId="484CAF01" w:rsidR="006F11DC" w:rsidRDefault="00CD490E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针对宫颈癌筛查，主要的应用是临床吗？集采降价的压力大不大？</w:t>
            </w:r>
          </w:p>
          <w:p w14:paraId="339AA13A" w14:textId="4D6FD7FF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答：宫颈癌筛查在临床、门诊以及体检都有应用，有的是健康人群常规检查，有的是则是医生基于临床需要开具。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目前我们遇到的集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采压力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不大，国家虽然在药品、耗材、检验、影像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类领域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的收费标准逐年下调，但对病理诊断领域总体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控费压力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较小，收费标准甚至有逆势上调趋势，还是比较支持病理科的发展。</w:t>
            </w:r>
          </w:p>
          <w:p w14:paraId="4E27FCAB" w14:textId="77777777" w:rsidR="006F11DC" w:rsidRDefault="006F11D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F151AB6" w14:textId="77777777" w:rsidR="006F11DC" w:rsidRDefault="00CD490E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国产替代目前是国家要求还是市场自然竞争？国产品牌的实际水平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是怎样的？</w:t>
            </w:r>
          </w:p>
          <w:p w14:paraId="17AEBC38" w14:textId="7940EB93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答：近几年，相关政策一直在为医疗器械的国产替代提供支持。越来越多的优质国产</w:t>
            </w:r>
            <w:r w:rsidR="000F50B6">
              <w:rPr>
                <w:rFonts w:ascii="宋体" w:eastAsia="宋体" w:hAnsi="宋体" w:cs="Times New Roman" w:hint="eastAsia"/>
                <w:sz w:val="24"/>
                <w:szCs w:val="24"/>
              </w:rPr>
              <w:t>器械走向市场，国产品牌的市场份额也不断扩大，过去主要依赖进口的基础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医疗器械产品已基本实现国产化，国产替代也逐步从中低端市场走向高端市场。</w:t>
            </w:r>
          </w:p>
          <w:p w14:paraId="25776CD0" w14:textId="77777777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从我们的几个技术平台来说，细胞学和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HPV的检测，基本与国际品牌差异不大。荧光原位杂交FISH产品线也进入了600多家三级医院，基本上可以与国外品牌同台竞争。公司一直在加大免疫组化IHC的科研投入，目前有200多个自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自产的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抗克隆号，摆脱了很多国产品牌面临的抗体原料依赖进口的瓶颈。</w:t>
            </w:r>
          </w:p>
          <w:p w14:paraId="71963170" w14:textId="77777777" w:rsidR="006F11DC" w:rsidRDefault="006F11D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9F399A3" w14:textId="77777777" w:rsidR="006F11DC" w:rsidRDefault="00CD490E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公司客户现在覆盖了1900多家医院，是就现有客户进行深耕还是要扩大覆盖范围？</w:t>
            </w:r>
          </w:p>
          <w:p w14:paraId="0159D71D" w14:textId="68605BB8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答：一方面我们要</w:t>
            </w:r>
            <w:r w:rsidR="000F50B6">
              <w:rPr>
                <w:rFonts w:ascii="宋体" w:eastAsia="宋体" w:hAnsi="宋体" w:cs="Times New Roman" w:hint="eastAsia"/>
                <w:sz w:val="24"/>
                <w:szCs w:val="24"/>
              </w:rPr>
              <w:t>继续深耕现有客户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，包括推出病理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AI和病理数字化产品，不仅可以实现独立收入，也可以反过来促进现有产品线的试剂和设备销售，形成原有业务的护城河。</w:t>
            </w:r>
          </w:p>
          <w:p w14:paraId="6E9E1F4A" w14:textId="77777777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另一方面也响应国家优质医疗资源下沉的号召，把我们的病理科产品及服务植入县级等基层医院，扩大客户范围。</w:t>
            </w:r>
          </w:p>
          <w:p w14:paraId="43235D15" w14:textId="77777777" w:rsidR="006F11DC" w:rsidRDefault="006F11D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EB6D61B" w14:textId="77777777" w:rsidR="006F11DC" w:rsidRDefault="00CD490E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公司未来增长潜力最大的板块是什么？</w:t>
            </w:r>
          </w:p>
          <w:p w14:paraId="07409DBB" w14:textId="585D3B94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答：如果从长期（三年以上）来看，免疫组化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IHC的伴随诊断业务应该是最看好的板块。基于PCR、NGS技术的小分子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药竞争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激烈，已经是明显的红海，而基于蛋白靶标的大分子药物研发热度刚刚显现，目前国内还没有免疫组</w:t>
            </w:r>
            <w:bookmarkStart w:id="0" w:name="_GoBack"/>
            <w:bookmarkEnd w:id="0"/>
            <w:r>
              <w:rPr>
                <w:rFonts w:ascii="宋体" w:eastAsia="宋体" w:hAnsi="宋体" w:cs="Times New Roman"/>
                <w:sz w:val="24"/>
                <w:szCs w:val="24"/>
              </w:rPr>
              <w:t>化IHC伴随诊断的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品牌跑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出来，大家都在起步阶段。我们的免疫组化IHC无论是研发投入，还是技术、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抗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克隆号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以及获证情况都居于前列，布局伴随诊断也比较早，现在还处于市场前期积淀阶段，真正在业绩上爆发应该是三年后，我们非常看好长期增长潜力。</w:t>
            </w:r>
          </w:p>
          <w:p w14:paraId="54EFD331" w14:textId="77777777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从短期（三年内）来看最有潜力的当属数字病理和病理共建业务。在原有试剂和设备的基础上，解决病理科的痛点，提升病理科工作效率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以及基层配套水准，既符合客户需要，也符合国家千县工程以及优质医疗资源下沉的政策趋势。经过此前的市场开拓及铺垫，将进入快速增长阶段。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  <w:p w14:paraId="0F85EADA" w14:textId="77777777" w:rsidR="006F11DC" w:rsidRDefault="006F11D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F8F5DD3" w14:textId="77777777" w:rsidR="006F11DC" w:rsidRDefault="00CD490E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公司在海外市场是怎么布局？</w:t>
            </w:r>
          </w:p>
          <w:p w14:paraId="5A0F3D12" w14:textId="77777777" w:rsidR="006F11DC" w:rsidRDefault="00CD490E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答：此前已经有一部分海外市场业务，比如公司的荧光原位杂交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FISH、免疫组织化学IHC等产品已经进入日本市场。还有一带一路上的国家，对公司产品的认证互认互通，也有一定的销售。对于欧美市场，则可能采取投资并购的方式开拓相关市场。</w:t>
            </w:r>
          </w:p>
        </w:tc>
      </w:tr>
    </w:tbl>
    <w:p w14:paraId="37F09741" w14:textId="77777777" w:rsidR="006F11DC" w:rsidRDefault="006F11DC">
      <w:pPr>
        <w:rPr>
          <w:rFonts w:ascii="宋体" w:eastAsia="宋体" w:hAnsi="宋体"/>
        </w:rPr>
      </w:pPr>
    </w:p>
    <w:sectPr w:rsidR="006F1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6072D"/>
    <w:multiLevelType w:val="multilevel"/>
    <w:tmpl w:val="1E96072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CE"/>
    <w:rsid w:val="91B7DCBB"/>
    <w:rsid w:val="B5E7D676"/>
    <w:rsid w:val="B78E27A1"/>
    <w:rsid w:val="B9F97ACB"/>
    <w:rsid w:val="BA5678E8"/>
    <w:rsid w:val="BBB637E0"/>
    <w:rsid w:val="BE3D7A83"/>
    <w:rsid w:val="BF9B50D2"/>
    <w:rsid w:val="BFD9692F"/>
    <w:rsid w:val="C0FD56A8"/>
    <w:rsid w:val="C99FF81E"/>
    <w:rsid w:val="D3DE45CE"/>
    <w:rsid w:val="DA3DBD05"/>
    <w:rsid w:val="DECF7660"/>
    <w:rsid w:val="DF78698E"/>
    <w:rsid w:val="DFE976C6"/>
    <w:rsid w:val="DFF71A51"/>
    <w:rsid w:val="F57E1224"/>
    <w:rsid w:val="F6F19D26"/>
    <w:rsid w:val="F7F67D73"/>
    <w:rsid w:val="F97571A0"/>
    <w:rsid w:val="F9AB4AD3"/>
    <w:rsid w:val="FA6F98EB"/>
    <w:rsid w:val="FD535966"/>
    <w:rsid w:val="FD79E1B0"/>
    <w:rsid w:val="FDADAC5C"/>
    <w:rsid w:val="FE7A0CB3"/>
    <w:rsid w:val="FEEB7B49"/>
    <w:rsid w:val="FEEF4611"/>
    <w:rsid w:val="FEFDD383"/>
    <w:rsid w:val="FEFF96D2"/>
    <w:rsid w:val="FFF140B8"/>
    <w:rsid w:val="FFFC10B1"/>
    <w:rsid w:val="0000549F"/>
    <w:rsid w:val="00007266"/>
    <w:rsid w:val="00015916"/>
    <w:rsid w:val="000318EC"/>
    <w:rsid w:val="00062387"/>
    <w:rsid w:val="00083B07"/>
    <w:rsid w:val="00083D9A"/>
    <w:rsid w:val="000917CA"/>
    <w:rsid w:val="000A1FAA"/>
    <w:rsid w:val="000A41BB"/>
    <w:rsid w:val="000B01D7"/>
    <w:rsid w:val="000C0C08"/>
    <w:rsid w:val="000D35B8"/>
    <w:rsid w:val="000D5060"/>
    <w:rsid w:val="000E3825"/>
    <w:rsid w:val="000F2CF9"/>
    <w:rsid w:val="000F4257"/>
    <w:rsid w:val="000F50B6"/>
    <w:rsid w:val="0010589B"/>
    <w:rsid w:val="001212BB"/>
    <w:rsid w:val="00131528"/>
    <w:rsid w:val="0013184A"/>
    <w:rsid w:val="001434C7"/>
    <w:rsid w:val="00150A86"/>
    <w:rsid w:val="001511C8"/>
    <w:rsid w:val="0015691A"/>
    <w:rsid w:val="001636A5"/>
    <w:rsid w:val="0017163A"/>
    <w:rsid w:val="001868B0"/>
    <w:rsid w:val="00194A5A"/>
    <w:rsid w:val="00197FAD"/>
    <w:rsid w:val="001A5D03"/>
    <w:rsid w:val="001A6399"/>
    <w:rsid w:val="001A7427"/>
    <w:rsid w:val="001C185E"/>
    <w:rsid w:val="001C1A57"/>
    <w:rsid w:val="001C298F"/>
    <w:rsid w:val="001C4CCF"/>
    <w:rsid w:val="001D7D59"/>
    <w:rsid w:val="001F323D"/>
    <w:rsid w:val="00200428"/>
    <w:rsid w:val="002050CF"/>
    <w:rsid w:val="002163B2"/>
    <w:rsid w:val="002212EE"/>
    <w:rsid w:val="00226C56"/>
    <w:rsid w:val="00264894"/>
    <w:rsid w:val="00274B80"/>
    <w:rsid w:val="00282BA9"/>
    <w:rsid w:val="00294981"/>
    <w:rsid w:val="00297C3E"/>
    <w:rsid w:val="002A4A8E"/>
    <w:rsid w:val="002B32DC"/>
    <w:rsid w:val="002B537E"/>
    <w:rsid w:val="002D336D"/>
    <w:rsid w:val="002D5351"/>
    <w:rsid w:val="002E7552"/>
    <w:rsid w:val="00300554"/>
    <w:rsid w:val="003166F7"/>
    <w:rsid w:val="00324FBE"/>
    <w:rsid w:val="00334343"/>
    <w:rsid w:val="00345EC8"/>
    <w:rsid w:val="00354C1D"/>
    <w:rsid w:val="00354D8A"/>
    <w:rsid w:val="00355AFD"/>
    <w:rsid w:val="0035605B"/>
    <w:rsid w:val="00381B4A"/>
    <w:rsid w:val="00396C14"/>
    <w:rsid w:val="003B726F"/>
    <w:rsid w:val="003C276F"/>
    <w:rsid w:val="003C7394"/>
    <w:rsid w:val="003C761B"/>
    <w:rsid w:val="003E0EA8"/>
    <w:rsid w:val="003F0E05"/>
    <w:rsid w:val="003F3599"/>
    <w:rsid w:val="003F4062"/>
    <w:rsid w:val="00417F38"/>
    <w:rsid w:val="00421710"/>
    <w:rsid w:val="0042751F"/>
    <w:rsid w:val="00427925"/>
    <w:rsid w:val="00484213"/>
    <w:rsid w:val="004845EF"/>
    <w:rsid w:val="004B387F"/>
    <w:rsid w:val="004D254D"/>
    <w:rsid w:val="004E38CE"/>
    <w:rsid w:val="00502C1D"/>
    <w:rsid w:val="0050487B"/>
    <w:rsid w:val="00516607"/>
    <w:rsid w:val="005248DB"/>
    <w:rsid w:val="0053742C"/>
    <w:rsid w:val="0054242B"/>
    <w:rsid w:val="005441D1"/>
    <w:rsid w:val="00544F3A"/>
    <w:rsid w:val="005505A4"/>
    <w:rsid w:val="00560AC0"/>
    <w:rsid w:val="00575AA1"/>
    <w:rsid w:val="00583C6B"/>
    <w:rsid w:val="0058563D"/>
    <w:rsid w:val="005A2B0A"/>
    <w:rsid w:val="005A597F"/>
    <w:rsid w:val="005B261A"/>
    <w:rsid w:val="005B749B"/>
    <w:rsid w:val="005D12CF"/>
    <w:rsid w:val="005F1692"/>
    <w:rsid w:val="005F4E51"/>
    <w:rsid w:val="00604FBE"/>
    <w:rsid w:val="006400DD"/>
    <w:rsid w:val="00653C6F"/>
    <w:rsid w:val="00655EE9"/>
    <w:rsid w:val="00686642"/>
    <w:rsid w:val="006A6BA2"/>
    <w:rsid w:val="006B3B10"/>
    <w:rsid w:val="006B3CD3"/>
    <w:rsid w:val="006C031B"/>
    <w:rsid w:val="006D76CE"/>
    <w:rsid w:val="006E3811"/>
    <w:rsid w:val="006F11DC"/>
    <w:rsid w:val="006F6C38"/>
    <w:rsid w:val="00702703"/>
    <w:rsid w:val="00704DBB"/>
    <w:rsid w:val="007265C8"/>
    <w:rsid w:val="00741CE0"/>
    <w:rsid w:val="00755749"/>
    <w:rsid w:val="00763D78"/>
    <w:rsid w:val="00785422"/>
    <w:rsid w:val="00795B45"/>
    <w:rsid w:val="00796A64"/>
    <w:rsid w:val="007A3B67"/>
    <w:rsid w:val="007D2C73"/>
    <w:rsid w:val="007D7691"/>
    <w:rsid w:val="007F25F4"/>
    <w:rsid w:val="00804DE7"/>
    <w:rsid w:val="008064D9"/>
    <w:rsid w:val="00844EFE"/>
    <w:rsid w:val="00853153"/>
    <w:rsid w:val="00857A3B"/>
    <w:rsid w:val="00894916"/>
    <w:rsid w:val="008A187C"/>
    <w:rsid w:val="008A1908"/>
    <w:rsid w:val="008B154A"/>
    <w:rsid w:val="008B3D80"/>
    <w:rsid w:val="008B4A86"/>
    <w:rsid w:val="008D1905"/>
    <w:rsid w:val="008D632B"/>
    <w:rsid w:val="00904EC2"/>
    <w:rsid w:val="009056DF"/>
    <w:rsid w:val="00937399"/>
    <w:rsid w:val="00945AE9"/>
    <w:rsid w:val="00957709"/>
    <w:rsid w:val="00984F49"/>
    <w:rsid w:val="009932CB"/>
    <w:rsid w:val="00993463"/>
    <w:rsid w:val="009B0E19"/>
    <w:rsid w:val="009B269B"/>
    <w:rsid w:val="009C1151"/>
    <w:rsid w:val="009D3788"/>
    <w:rsid w:val="009F005B"/>
    <w:rsid w:val="009F0A5C"/>
    <w:rsid w:val="00A03BD5"/>
    <w:rsid w:val="00A04C5E"/>
    <w:rsid w:val="00A118B5"/>
    <w:rsid w:val="00A12D00"/>
    <w:rsid w:val="00A20417"/>
    <w:rsid w:val="00A467BF"/>
    <w:rsid w:val="00A53069"/>
    <w:rsid w:val="00A55EF2"/>
    <w:rsid w:val="00A60F15"/>
    <w:rsid w:val="00A813F3"/>
    <w:rsid w:val="00A86B43"/>
    <w:rsid w:val="00A9319F"/>
    <w:rsid w:val="00A93D4D"/>
    <w:rsid w:val="00AA2D87"/>
    <w:rsid w:val="00AF040C"/>
    <w:rsid w:val="00AF2DB8"/>
    <w:rsid w:val="00B232C7"/>
    <w:rsid w:val="00B333AE"/>
    <w:rsid w:val="00B3402A"/>
    <w:rsid w:val="00B35418"/>
    <w:rsid w:val="00B519B8"/>
    <w:rsid w:val="00B61AC5"/>
    <w:rsid w:val="00B660D2"/>
    <w:rsid w:val="00B710E4"/>
    <w:rsid w:val="00B83FD6"/>
    <w:rsid w:val="00B93419"/>
    <w:rsid w:val="00BA005E"/>
    <w:rsid w:val="00BA6735"/>
    <w:rsid w:val="00BA6A7E"/>
    <w:rsid w:val="00BB695B"/>
    <w:rsid w:val="00BD5413"/>
    <w:rsid w:val="00BE2F5E"/>
    <w:rsid w:val="00BF1994"/>
    <w:rsid w:val="00C0299A"/>
    <w:rsid w:val="00C24449"/>
    <w:rsid w:val="00C337F0"/>
    <w:rsid w:val="00C33F44"/>
    <w:rsid w:val="00C553A4"/>
    <w:rsid w:val="00C6203A"/>
    <w:rsid w:val="00C623E4"/>
    <w:rsid w:val="00C7246A"/>
    <w:rsid w:val="00C8150B"/>
    <w:rsid w:val="00CA1657"/>
    <w:rsid w:val="00CD2DA4"/>
    <w:rsid w:val="00CD490E"/>
    <w:rsid w:val="00CE7C74"/>
    <w:rsid w:val="00CF04DF"/>
    <w:rsid w:val="00CF0942"/>
    <w:rsid w:val="00D00E5C"/>
    <w:rsid w:val="00D043A6"/>
    <w:rsid w:val="00D12D78"/>
    <w:rsid w:val="00D14A9F"/>
    <w:rsid w:val="00D30AE3"/>
    <w:rsid w:val="00D417B6"/>
    <w:rsid w:val="00D42BE9"/>
    <w:rsid w:val="00D51D8D"/>
    <w:rsid w:val="00D75316"/>
    <w:rsid w:val="00D755E5"/>
    <w:rsid w:val="00D87543"/>
    <w:rsid w:val="00D97E2D"/>
    <w:rsid w:val="00DA579D"/>
    <w:rsid w:val="00DB5FE1"/>
    <w:rsid w:val="00DC26F6"/>
    <w:rsid w:val="00DC6872"/>
    <w:rsid w:val="00E0212A"/>
    <w:rsid w:val="00E02F39"/>
    <w:rsid w:val="00E15F11"/>
    <w:rsid w:val="00E25D01"/>
    <w:rsid w:val="00E309FD"/>
    <w:rsid w:val="00E31518"/>
    <w:rsid w:val="00E45C1F"/>
    <w:rsid w:val="00E51238"/>
    <w:rsid w:val="00E603FA"/>
    <w:rsid w:val="00E71BC5"/>
    <w:rsid w:val="00E87F37"/>
    <w:rsid w:val="00EA4C51"/>
    <w:rsid w:val="00EB507A"/>
    <w:rsid w:val="00EC1BAC"/>
    <w:rsid w:val="00EC5529"/>
    <w:rsid w:val="00ED2C5A"/>
    <w:rsid w:val="00EE440E"/>
    <w:rsid w:val="00F22678"/>
    <w:rsid w:val="00F31C7B"/>
    <w:rsid w:val="00F40CFE"/>
    <w:rsid w:val="00F509E6"/>
    <w:rsid w:val="00F76DE1"/>
    <w:rsid w:val="00FA2CE6"/>
    <w:rsid w:val="00FC7558"/>
    <w:rsid w:val="00FD2D42"/>
    <w:rsid w:val="3ABA8FD5"/>
    <w:rsid w:val="3BE7FEE4"/>
    <w:rsid w:val="3DDF0BDF"/>
    <w:rsid w:val="3EA36C29"/>
    <w:rsid w:val="4DBFE08F"/>
    <w:rsid w:val="51EB12B0"/>
    <w:rsid w:val="56DE9CC0"/>
    <w:rsid w:val="57EF6636"/>
    <w:rsid w:val="5B6F2C78"/>
    <w:rsid w:val="5CDC269A"/>
    <w:rsid w:val="5F7BB008"/>
    <w:rsid w:val="619788CC"/>
    <w:rsid w:val="665EB346"/>
    <w:rsid w:val="66E187FD"/>
    <w:rsid w:val="678FE165"/>
    <w:rsid w:val="67B78FC3"/>
    <w:rsid w:val="6BFF68A3"/>
    <w:rsid w:val="6F9E1608"/>
    <w:rsid w:val="6FAFD994"/>
    <w:rsid w:val="6FBEBEDF"/>
    <w:rsid w:val="7258FCEA"/>
    <w:rsid w:val="733FCFDE"/>
    <w:rsid w:val="775ED2D4"/>
    <w:rsid w:val="79EF8FFC"/>
    <w:rsid w:val="7BADF047"/>
    <w:rsid w:val="7BF20230"/>
    <w:rsid w:val="7BFBBD67"/>
    <w:rsid w:val="7BFDB883"/>
    <w:rsid w:val="7CDEF953"/>
    <w:rsid w:val="7D36F4AD"/>
    <w:rsid w:val="7D6BAAFA"/>
    <w:rsid w:val="7E798F71"/>
    <w:rsid w:val="7EEA95E9"/>
    <w:rsid w:val="7F4B2353"/>
    <w:rsid w:val="7F9ABE7D"/>
    <w:rsid w:val="7FDA5718"/>
    <w:rsid w:val="7FEF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9E8205-B278-4F33-ACDD-5D8C6731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等线" w:eastAsia="等线" w:hAnsi="等线" w:cs="Times New Roman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692</Words>
  <Characters>3949</Characters>
  <Application>Microsoft Office Word</Application>
  <DocSecurity>0</DocSecurity>
  <Lines>32</Lines>
  <Paragraphs>9</Paragraphs>
  <ScaleCrop>false</ScaleCrop>
  <Company>P R C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楚天舒</dc:creator>
  <cp:lastModifiedBy>杜坤</cp:lastModifiedBy>
  <cp:revision>3</cp:revision>
  <dcterms:created xsi:type="dcterms:W3CDTF">2022-06-28T08:27:00Z</dcterms:created>
  <dcterms:modified xsi:type="dcterms:W3CDTF">2022-06-30T01:14:00Z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